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FBD78" w14:textId="77777777" w:rsidR="00F51810" w:rsidRPr="006062A1" w:rsidRDefault="00F51810">
      <w:pPr>
        <w:widowControl w:val="0"/>
        <w:pBdr>
          <w:top w:val="nil"/>
          <w:left w:val="nil"/>
          <w:bottom w:val="nil"/>
          <w:right w:val="nil"/>
          <w:between w:val="nil"/>
        </w:pBdr>
        <w:spacing w:after="0"/>
        <w:rPr>
          <w:rFonts w:ascii="Arial" w:eastAsia="Arial" w:hAnsi="Arial" w:cs="Arial"/>
          <w:color w:val="000000"/>
          <w:sz w:val="24"/>
          <w:szCs w:val="24"/>
        </w:rPr>
      </w:pPr>
    </w:p>
    <w:tbl>
      <w:tblPr>
        <w:tblStyle w:val="a"/>
        <w:tblW w:w="9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2"/>
        <w:gridCol w:w="2127"/>
        <w:gridCol w:w="2126"/>
        <w:gridCol w:w="3544"/>
      </w:tblGrid>
      <w:tr w:rsidR="00F51810" w:rsidRPr="006062A1" w14:paraId="0EF3FCF5" w14:textId="77777777">
        <w:trPr>
          <w:trHeight w:val="680"/>
        </w:trPr>
        <w:tc>
          <w:tcPr>
            <w:tcW w:w="1842" w:type="dxa"/>
            <w:vAlign w:val="center"/>
          </w:tcPr>
          <w:p w14:paraId="26C4688E" w14:textId="77777777" w:rsidR="00F51810" w:rsidRPr="006062A1" w:rsidRDefault="007A47BF">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NOMBRE DEL PROYECTO</w:t>
            </w:r>
          </w:p>
        </w:tc>
        <w:tc>
          <w:tcPr>
            <w:tcW w:w="7797" w:type="dxa"/>
            <w:gridSpan w:val="3"/>
            <w:vAlign w:val="center"/>
          </w:tcPr>
          <w:p w14:paraId="57EBDFC2" w14:textId="6AA762D6" w:rsidR="00F51810" w:rsidRPr="006062A1" w:rsidRDefault="00C51545">
            <w:pPr>
              <w:jc w:val="center"/>
              <w:rPr>
                <w:rFonts w:ascii="Century Gothic" w:eastAsia="Century Gothic" w:hAnsi="Century Gothic" w:cs="Century Gothic"/>
                <w:sz w:val="24"/>
                <w:szCs w:val="24"/>
              </w:rPr>
            </w:pPr>
            <w:bookmarkStart w:id="0" w:name="_Hlk163044538"/>
            <w:r>
              <w:rPr>
                <w:rFonts w:ascii="Century Gothic" w:eastAsia="Century Gothic" w:hAnsi="Century Gothic" w:cs="Century Gothic"/>
                <w:sz w:val="24"/>
                <w:szCs w:val="24"/>
              </w:rPr>
              <w:t>Tecnificación del sector hortofrutícola en la población adulto mayor del municipio de Popayán</w:t>
            </w:r>
            <w:bookmarkEnd w:id="0"/>
          </w:p>
        </w:tc>
      </w:tr>
      <w:tr w:rsidR="00F51810" w:rsidRPr="006062A1" w14:paraId="0BB18FF8" w14:textId="77777777">
        <w:trPr>
          <w:trHeight w:val="544"/>
        </w:trPr>
        <w:tc>
          <w:tcPr>
            <w:tcW w:w="1842" w:type="dxa"/>
            <w:vAlign w:val="center"/>
          </w:tcPr>
          <w:p w14:paraId="413BF090" w14:textId="77777777" w:rsidR="00F51810" w:rsidRPr="006062A1" w:rsidRDefault="007A47BF">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FORMULADOR</w:t>
            </w:r>
          </w:p>
        </w:tc>
        <w:tc>
          <w:tcPr>
            <w:tcW w:w="2127" w:type="dxa"/>
            <w:vAlign w:val="center"/>
          </w:tcPr>
          <w:p w14:paraId="33888893" w14:textId="677D2E35" w:rsidR="00F51810" w:rsidRPr="006062A1" w:rsidRDefault="007B2D17">
            <w:pPr>
              <w:jc w:val="center"/>
              <w:rPr>
                <w:rFonts w:ascii="Century Gothic" w:eastAsia="Century Gothic" w:hAnsi="Century Gothic" w:cs="Century Gothic"/>
                <w:sz w:val="24"/>
                <w:szCs w:val="24"/>
              </w:rPr>
            </w:pPr>
            <w:proofErr w:type="spellStart"/>
            <w:r>
              <w:rPr>
                <w:rFonts w:ascii="Century Gothic" w:eastAsia="Century Gothic" w:hAnsi="Century Gothic" w:cs="Century Gothic"/>
                <w:sz w:val="24"/>
                <w:szCs w:val="24"/>
              </w:rPr>
              <w:t>Katerina</w:t>
            </w:r>
            <w:proofErr w:type="spellEnd"/>
            <w:r>
              <w:rPr>
                <w:rFonts w:ascii="Century Gothic" w:eastAsia="Century Gothic" w:hAnsi="Century Gothic" w:cs="Century Gothic"/>
                <w:sz w:val="24"/>
                <w:szCs w:val="24"/>
              </w:rPr>
              <w:t xml:space="preserve"> Benavides</w:t>
            </w:r>
          </w:p>
        </w:tc>
        <w:tc>
          <w:tcPr>
            <w:tcW w:w="2126" w:type="dxa"/>
            <w:vAlign w:val="center"/>
          </w:tcPr>
          <w:p w14:paraId="17EC3517" w14:textId="77777777" w:rsidR="00F51810" w:rsidRPr="006062A1" w:rsidRDefault="007A47BF">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FECHA DE PREPARACIÓN</w:t>
            </w:r>
          </w:p>
        </w:tc>
        <w:tc>
          <w:tcPr>
            <w:tcW w:w="3544" w:type="dxa"/>
            <w:vAlign w:val="center"/>
          </w:tcPr>
          <w:p w14:paraId="5BBD63FC" w14:textId="622BC536" w:rsidR="00F51810" w:rsidRPr="006062A1" w:rsidRDefault="007B2D17" w:rsidP="007B2D17">
            <w:pPr>
              <w:jc w:val="center"/>
              <w:rPr>
                <w:rFonts w:ascii="Century Gothic" w:eastAsia="Century Gothic" w:hAnsi="Century Gothic" w:cs="Century Gothic"/>
                <w:sz w:val="24"/>
                <w:szCs w:val="24"/>
              </w:rPr>
            </w:pPr>
            <w:r>
              <w:rPr>
                <w:rFonts w:ascii="Century Gothic" w:eastAsia="Century Gothic" w:hAnsi="Century Gothic" w:cs="Century Gothic"/>
                <w:sz w:val="24"/>
                <w:szCs w:val="24"/>
              </w:rPr>
              <w:t>05</w:t>
            </w:r>
            <w:r w:rsidR="006062A1" w:rsidRPr="006062A1">
              <w:rPr>
                <w:rFonts w:ascii="Century Gothic" w:eastAsia="Century Gothic" w:hAnsi="Century Gothic" w:cs="Century Gothic"/>
                <w:sz w:val="24"/>
                <w:szCs w:val="24"/>
              </w:rPr>
              <w:t>/</w:t>
            </w:r>
            <w:r>
              <w:rPr>
                <w:rFonts w:ascii="Century Gothic" w:eastAsia="Century Gothic" w:hAnsi="Century Gothic" w:cs="Century Gothic"/>
                <w:sz w:val="24"/>
                <w:szCs w:val="24"/>
              </w:rPr>
              <w:t>12</w:t>
            </w:r>
            <w:r w:rsidR="006062A1" w:rsidRPr="006062A1">
              <w:rPr>
                <w:rFonts w:ascii="Century Gothic" w:eastAsia="Century Gothic" w:hAnsi="Century Gothic" w:cs="Century Gothic"/>
                <w:sz w:val="24"/>
                <w:szCs w:val="24"/>
              </w:rPr>
              <w:t>/202</w:t>
            </w:r>
            <w:r>
              <w:rPr>
                <w:rFonts w:ascii="Century Gothic" w:eastAsia="Century Gothic" w:hAnsi="Century Gothic" w:cs="Century Gothic"/>
                <w:sz w:val="24"/>
                <w:szCs w:val="24"/>
              </w:rPr>
              <w:t>5</w:t>
            </w:r>
          </w:p>
        </w:tc>
      </w:tr>
      <w:tr w:rsidR="00F51810" w:rsidRPr="006062A1" w14:paraId="5971BE0E" w14:textId="77777777">
        <w:tc>
          <w:tcPr>
            <w:tcW w:w="9639" w:type="dxa"/>
            <w:gridSpan w:val="4"/>
            <w:shd w:val="clear" w:color="auto" w:fill="BFBFBF"/>
          </w:tcPr>
          <w:p w14:paraId="35ECD345" w14:textId="77777777" w:rsidR="00F51810" w:rsidRPr="006062A1" w:rsidRDefault="007A47BF">
            <w:pPr>
              <w:tabs>
                <w:tab w:val="center" w:pos="4711"/>
                <w:tab w:val="left" w:pos="7950"/>
              </w:tabs>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ab/>
              <w:t>JUSTIFICACIÓN</w:t>
            </w:r>
            <w:r w:rsidRPr="006062A1">
              <w:rPr>
                <w:rFonts w:ascii="Century Gothic" w:eastAsia="Century Gothic" w:hAnsi="Century Gothic" w:cs="Century Gothic"/>
                <w:b/>
                <w:sz w:val="24"/>
                <w:szCs w:val="24"/>
              </w:rPr>
              <w:tab/>
            </w:r>
          </w:p>
        </w:tc>
      </w:tr>
      <w:tr w:rsidR="00F51810" w:rsidRPr="006062A1" w14:paraId="13EEA89E" w14:textId="77777777" w:rsidTr="00C51545">
        <w:trPr>
          <w:trHeight w:val="2700"/>
        </w:trPr>
        <w:tc>
          <w:tcPr>
            <w:tcW w:w="9639" w:type="dxa"/>
            <w:gridSpan w:val="4"/>
          </w:tcPr>
          <w:p w14:paraId="102AA3E0" w14:textId="77777777" w:rsidR="00C51545" w:rsidRPr="00C51545" w:rsidRDefault="00C51545">
            <w:pPr>
              <w:pBdr>
                <w:top w:val="nil"/>
                <w:left w:val="nil"/>
                <w:bottom w:val="nil"/>
                <w:right w:val="nil"/>
                <w:between w:val="nil"/>
              </w:pBdr>
              <w:jc w:val="both"/>
              <w:rPr>
                <w:rFonts w:ascii="Century Gothic" w:hAnsi="Century Gothic"/>
                <w:sz w:val="24"/>
                <w:szCs w:val="24"/>
              </w:rPr>
            </w:pPr>
            <w:r w:rsidRPr="00C51545">
              <w:rPr>
                <w:rFonts w:ascii="Century Gothic" w:hAnsi="Century Gothic"/>
                <w:sz w:val="24"/>
                <w:szCs w:val="24"/>
              </w:rPr>
              <w:t xml:space="preserve">La población adulto mayor está en ascenso a nivel mundial, la OMS, indica que entre el 2000 y 2050 la proporción de las personas mayores de 60 años se duplicará, pasando del 11% al 22% y Colombia no es ajeno a ello; teniendo en cuenta que esta situación se da en un contexto de pobreza, es de suma importancia la conservación de la salud de este grupo poblacional. </w:t>
            </w:r>
          </w:p>
          <w:p w14:paraId="240D130A" w14:textId="77777777" w:rsidR="00C51545" w:rsidRPr="00C51545" w:rsidRDefault="00C51545">
            <w:pPr>
              <w:pBdr>
                <w:top w:val="nil"/>
                <w:left w:val="nil"/>
                <w:bottom w:val="nil"/>
                <w:right w:val="nil"/>
                <w:between w:val="nil"/>
              </w:pBdr>
              <w:jc w:val="both"/>
              <w:rPr>
                <w:rFonts w:ascii="Century Gothic" w:hAnsi="Century Gothic"/>
                <w:sz w:val="24"/>
                <w:szCs w:val="24"/>
              </w:rPr>
            </w:pPr>
          </w:p>
          <w:p w14:paraId="2F2D1DCA" w14:textId="77777777" w:rsidR="00C51545" w:rsidRPr="00C51545" w:rsidRDefault="00C51545">
            <w:pPr>
              <w:pBdr>
                <w:top w:val="nil"/>
                <w:left w:val="nil"/>
                <w:bottom w:val="nil"/>
                <w:right w:val="nil"/>
                <w:between w:val="nil"/>
              </w:pBdr>
              <w:jc w:val="both"/>
              <w:rPr>
                <w:rFonts w:ascii="Century Gothic" w:hAnsi="Century Gothic"/>
                <w:sz w:val="24"/>
                <w:szCs w:val="24"/>
              </w:rPr>
            </w:pPr>
            <w:r w:rsidRPr="00C51545">
              <w:rPr>
                <w:rFonts w:ascii="Century Gothic" w:hAnsi="Century Gothic"/>
                <w:sz w:val="24"/>
                <w:szCs w:val="24"/>
              </w:rPr>
              <w:t xml:space="preserve">La población total de adultos mayores en el municipio de Popayán es de 50.468 para el presente año 2022, lo cual significa un crecimiento porcentual de casi 50% en los últimos quince años de estudio. El proceso de envejecimiento de la población de la ciudad de Popayán, constituye uno de los retos más importante de política pública que enfrenta la administración municipal. Teniendo en cuenta lo anterior, el crecimiento poblacional hacia el envejecimiento justifica la intensificación de las acciones en pro del bienestar del adulto mayor y la promoción, protección y ejercicio de sus derechos. Son diversos los factores que influyen en la problematización de la vejez tanto por la tendencia al envejecimiento, el incremento de la pobreza, la discriminación y la violación de sus derechos. Esto ha generado una preocupación en materia pública a nivel nacional y municipal, porque la problemática de las personas mayores hasta ahora no ha recibido el espacio y la atención que merecen. Por ello la política pública hacia las Personas Mayores propone impactar en las Instituciones y en la población promoviendo sus derechos y acompañando los procesos de reconstitución del tejido social donde las personas mayores desempeñan un papel fundamental. </w:t>
            </w:r>
          </w:p>
          <w:p w14:paraId="5C39E3DC" w14:textId="77777777" w:rsidR="00C51545" w:rsidRPr="00C51545" w:rsidRDefault="00C51545">
            <w:pPr>
              <w:pBdr>
                <w:top w:val="nil"/>
                <w:left w:val="nil"/>
                <w:bottom w:val="nil"/>
                <w:right w:val="nil"/>
                <w:between w:val="nil"/>
              </w:pBdr>
              <w:jc w:val="both"/>
              <w:rPr>
                <w:rFonts w:ascii="Century Gothic" w:hAnsi="Century Gothic"/>
                <w:sz w:val="24"/>
                <w:szCs w:val="24"/>
              </w:rPr>
            </w:pPr>
          </w:p>
          <w:p w14:paraId="4E1B0D44" w14:textId="77777777" w:rsidR="00C51545" w:rsidRPr="00C51545" w:rsidRDefault="00C51545">
            <w:pPr>
              <w:pBdr>
                <w:top w:val="nil"/>
                <w:left w:val="nil"/>
                <w:bottom w:val="nil"/>
                <w:right w:val="nil"/>
                <w:between w:val="nil"/>
              </w:pBdr>
              <w:jc w:val="both"/>
              <w:rPr>
                <w:rFonts w:ascii="Century Gothic" w:hAnsi="Century Gothic"/>
                <w:sz w:val="24"/>
                <w:szCs w:val="24"/>
              </w:rPr>
            </w:pPr>
            <w:r w:rsidRPr="00C51545">
              <w:rPr>
                <w:rFonts w:ascii="Century Gothic" w:hAnsi="Century Gothic"/>
                <w:sz w:val="24"/>
                <w:szCs w:val="24"/>
              </w:rPr>
              <w:t xml:space="preserve">En el municipio de Popayán se vive un acelerado proceso de transición sociodemográfica, donde la población de Personas Mayores ha tenido un aumento progresivo en los últimos años. La tasa poblacional de crecimiento anual en cuanto a la población mayor de 60 desde el 2005 hasta el 2018 es de 3.40% (ASIS Municipal, 2020), que indica una fase de transición demográfica, donde la pirámide poblacional muestra la disminución de los grupos de menor edad y el incremento de personas mayores de 60 años. </w:t>
            </w:r>
          </w:p>
          <w:p w14:paraId="5D1D39CE" w14:textId="77777777" w:rsidR="00C51545" w:rsidRPr="00C51545" w:rsidRDefault="00C51545">
            <w:pPr>
              <w:pBdr>
                <w:top w:val="nil"/>
                <w:left w:val="nil"/>
                <w:bottom w:val="nil"/>
                <w:right w:val="nil"/>
                <w:between w:val="nil"/>
              </w:pBdr>
              <w:jc w:val="both"/>
              <w:rPr>
                <w:rFonts w:ascii="Century Gothic" w:hAnsi="Century Gothic"/>
                <w:sz w:val="24"/>
                <w:szCs w:val="24"/>
              </w:rPr>
            </w:pPr>
          </w:p>
          <w:p w14:paraId="1D5C005C" w14:textId="15498AF6" w:rsidR="00835123" w:rsidRPr="006062A1" w:rsidRDefault="00C51545">
            <w:pPr>
              <w:pBdr>
                <w:top w:val="nil"/>
                <w:left w:val="nil"/>
                <w:bottom w:val="nil"/>
                <w:right w:val="nil"/>
                <w:between w:val="nil"/>
              </w:pBdr>
              <w:jc w:val="both"/>
              <w:rPr>
                <w:rFonts w:ascii="Century Gothic" w:eastAsia="Century Gothic" w:hAnsi="Century Gothic" w:cs="Century Gothic"/>
                <w:color w:val="000000"/>
                <w:sz w:val="24"/>
                <w:szCs w:val="24"/>
              </w:rPr>
            </w:pPr>
            <w:r w:rsidRPr="00C51545">
              <w:rPr>
                <w:rFonts w:ascii="Century Gothic" w:hAnsi="Century Gothic"/>
                <w:sz w:val="24"/>
                <w:szCs w:val="24"/>
              </w:rPr>
              <w:t>Es necesario la atención integral del adulto mayor, porque es una población priorizada para la atención, definido a través de la ley 1276 del 2009, donde describe todas las acciones que permiten la protección a las personas de la tercera edad (o adultos mayores) de los niveles I y II de Sisbén, a través de los Centros Vida, como instituciones que contribuyen a brindarles una atención integral a sus necesidades, mejorar su calidad de vida y hacer valer sus derechos.</w:t>
            </w:r>
          </w:p>
          <w:p w14:paraId="286D5B8F" w14:textId="77777777" w:rsidR="00F51810" w:rsidRDefault="00C51545">
            <w:pPr>
              <w:pBdr>
                <w:top w:val="nil"/>
                <w:left w:val="nil"/>
                <w:bottom w:val="nil"/>
                <w:right w:val="nil"/>
                <w:between w:val="nil"/>
              </w:pBdr>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lastRenderedPageBreak/>
              <w:t>En este sentido la</w:t>
            </w:r>
            <w:r w:rsidRPr="00C51545">
              <w:rPr>
                <w:rFonts w:ascii="Century Gothic" w:eastAsia="Century Gothic" w:hAnsi="Century Gothic" w:cs="Century Gothic"/>
                <w:color w:val="000000"/>
                <w:sz w:val="24"/>
                <w:szCs w:val="24"/>
              </w:rPr>
              <w:t xml:space="preserve"> seguridad alimentaria y nutricional en Popayán se presenta como una prioridad ineludible en la búsqueda de un desarrollo integral y equitativo para sus habitantes. Esta justificación se fundamenta en diversos factores que convergen para resaltar la importancia crítica de abordar de manera efectiva los desafíos relacionados con la alimentación y la nutrición en el municipio</w:t>
            </w:r>
            <w:r>
              <w:rPr>
                <w:rFonts w:ascii="Century Gothic" w:eastAsia="Century Gothic" w:hAnsi="Century Gothic" w:cs="Century Gothic"/>
                <w:color w:val="000000"/>
                <w:sz w:val="24"/>
                <w:szCs w:val="24"/>
              </w:rPr>
              <w:t xml:space="preserve"> ya que la </w:t>
            </w:r>
            <w:r w:rsidRPr="00C51545">
              <w:rPr>
                <w:rFonts w:ascii="Century Gothic" w:eastAsia="Century Gothic" w:hAnsi="Century Gothic" w:cs="Century Gothic"/>
                <w:color w:val="000000"/>
                <w:sz w:val="24"/>
                <w:szCs w:val="24"/>
              </w:rPr>
              <w:t>relación directa entre la calidad de la dieta y la salud pública es innegable, abordar la seguridad alimentaria y nutricional contribuirá a la reducción de enfermedades relacionadas con la malnutrición, mejorando la salud y el bienestar de la población de Popayán. Asegurar una alimentación adecuada es fundamental para el desarrollo integral de la población, especialmente en el caso de niños y jóvenes una dieta balanceada no solo favorece el crecimiento físico, sino que también impacta positivamente en el rendimiento académico y las oportunidades de desarrollo humano.</w:t>
            </w:r>
          </w:p>
          <w:p w14:paraId="68630106" w14:textId="77777777" w:rsidR="00C51545" w:rsidRDefault="00C51545">
            <w:pPr>
              <w:pBdr>
                <w:top w:val="nil"/>
                <w:left w:val="nil"/>
                <w:bottom w:val="nil"/>
                <w:right w:val="nil"/>
                <w:between w:val="nil"/>
              </w:pBdr>
              <w:jc w:val="both"/>
              <w:rPr>
                <w:rFonts w:ascii="Century Gothic" w:eastAsia="Century Gothic" w:hAnsi="Century Gothic" w:cs="Century Gothic"/>
                <w:color w:val="000000"/>
                <w:sz w:val="24"/>
                <w:szCs w:val="24"/>
              </w:rPr>
            </w:pPr>
          </w:p>
          <w:p w14:paraId="647F7E15" w14:textId="77777777" w:rsidR="00C51545" w:rsidRDefault="00C51545" w:rsidP="00723D37">
            <w:pPr>
              <w:pBdr>
                <w:top w:val="nil"/>
                <w:left w:val="nil"/>
                <w:bottom w:val="nil"/>
                <w:right w:val="nil"/>
                <w:between w:val="nil"/>
              </w:pBdr>
              <w:jc w:val="both"/>
              <w:rPr>
                <w:rFonts w:ascii="Century Gothic" w:eastAsia="Century Gothic" w:hAnsi="Century Gothic" w:cs="Century Gothic"/>
                <w:color w:val="000000"/>
                <w:sz w:val="24"/>
                <w:szCs w:val="24"/>
              </w:rPr>
            </w:pPr>
            <w:r>
              <w:rPr>
                <w:rFonts w:ascii="Century Gothic" w:eastAsia="Century Gothic" w:hAnsi="Century Gothic" w:cs="Century Gothic"/>
                <w:color w:val="000000"/>
                <w:sz w:val="24"/>
                <w:szCs w:val="24"/>
              </w:rPr>
              <w:t xml:space="preserve">Por lo que lo que es </w:t>
            </w:r>
            <w:r w:rsidRPr="00C51545">
              <w:rPr>
                <w:rFonts w:ascii="Century Gothic" w:eastAsia="Century Gothic" w:hAnsi="Century Gothic" w:cs="Century Gothic"/>
                <w:color w:val="000000"/>
                <w:sz w:val="24"/>
                <w:szCs w:val="24"/>
              </w:rPr>
              <w:t>importante resaltar que la atención a la seguridad alimentaria y nutricional en Popayán está alineada con los Objetivos de Desarrollo Sostenible (ODS), específicamente el ODS 2 que busca poner fin al hambre, lograr la seguridad alimentaria y promover la agricultura sostenible.</w:t>
            </w:r>
          </w:p>
          <w:p w14:paraId="5F51DFEE" w14:textId="77777777" w:rsid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p>
          <w:p w14:paraId="2BC61B27"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Es menester la ejecución del presente proyecto en cumplimiento además de la Política Pública de Seguridad Alimentaria y Nutricional conforme al Acuerdo 013 del 2011.Y no existen problemas de sostenibilidad de seguridad alimentaria y nutricional por parte de organizaciones de carácter público o privado.</w:t>
            </w:r>
          </w:p>
          <w:p w14:paraId="6A0C7B03"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 xml:space="preserve"> </w:t>
            </w:r>
          </w:p>
          <w:p w14:paraId="7BD805BE"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Todo ser humano tiene derecho a una alimentación adecuada y tiene el derecho fundamental a no padecer hambre, según las normas internacionales de derechos humanos, la idea general de una alimentación adecuada puede descomponerse en varios elementos: la oferta de alimentos debe ser adecuada, lo que significa que los tipos de alimentos comúnmente disponibles deben ser culturalmente aceptables, la oferta disponible debe cubrir todas las necesidades nutricionales generales desde el punto de vista de la cantidad y la calidad (proporcionar todos los nutrientes esenciales y por último, aunque no en orden de importancia, los alimentos deben ser seguros (sin elementos tóxicos o contaminantes) y de buena calidad (por ejemplo, en lo que se refiere al gusto y la textura).</w:t>
            </w:r>
          </w:p>
          <w:p w14:paraId="29613A31"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p>
          <w:p w14:paraId="1202407F"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Cuando hablamos de derecho a la alimentación hablamos sobre que el alimento debe estar disponible, y ser accesible y adecuado, la disponibilidad requiere que, por una parte, la alimentación se pueda obtener de recursos naturales ya sea mediante la producción de alimentos, el cultivo de la tierra y la ganadería, o mediante otra forma de obtener el alimento, como la pesca, la caza o la recolección. Por otra parte, significa que los alimentos deben estar disponibles para su venta en mercados y comercios.</w:t>
            </w:r>
          </w:p>
          <w:p w14:paraId="7B7101AE"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p>
          <w:p w14:paraId="395A5D3B"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lastRenderedPageBreak/>
              <w:t>La accesibilidad requiere que esté garantizado el acceso económico y físico a la alimentación. La accesibilidad económica significa que los alimentos deben estar al alcance de las personas desde el punto de vista económico. Las personas deben estar en condiciones de permitirse la adquisición de alimentos para tener una dieta adecuada sin comprometer en modo algunas otras necesidades básicas, como las matrículas escolares, los medicamentos o el alquiler. Por ejemplo, se puede garantizar que la alimentación esté al alcance de los bolsillos de todos velando por que el salario mínimo o los beneficios de seguridad social sean suficientes para hacer frente al gasto de la alimentación nutritiva y de otras necesidades básicas. Por accesibilidad física se entiende que los alimentos deben estar accesibles a todos, incluidos los individuos físicamente vulnerables, como los niños, los enfermos, las personas con discapacidad o las personas de edad, a quienes puede resultar difícil salir para obtener alimentos. Debe garantizarse además el derecho a la alimentación a las personas que se hallen en zonas remotas y a las víctimas de conflictos armados o desastres naturales, así como a los prisioneros. Por ejemplo, se puede mejorar la garantía del acceso físico a la alimentación de quienes viven en zonas remotas con el mejoramiento de la infraestructura de manera que puedan llegar a los mercados por medio del transporte público.</w:t>
            </w:r>
          </w:p>
          <w:p w14:paraId="5AB7855C"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p>
          <w:p w14:paraId="4D840DF6"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 xml:space="preserve">Con base al </w:t>
            </w:r>
            <w:proofErr w:type="spellStart"/>
            <w:r w:rsidRPr="00723D37">
              <w:rPr>
                <w:rFonts w:ascii="Century Gothic" w:eastAsia="Century Gothic" w:hAnsi="Century Gothic" w:cs="Century Gothic"/>
                <w:color w:val="000000"/>
                <w:sz w:val="24"/>
                <w:szCs w:val="24"/>
              </w:rPr>
              <w:t>Conpes</w:t>
            </w:r>
            <w:proofErr w:type="spellEnd"/>
            <w:r w:rsidRPr="00723D37">
              <w:rPr>
                <w:rFonts w:ascii="Century Gothic" w:eastAsia="Century Gothic" w:hAnsi="Century Gothic" w:cs="Century Gothic"/>
                <w:color w:val="000000"/>
                <w:sz w:val="24"/>
                <w:szCs w:val="24"/>
              </w:rPr>
              <w:t xml:space="preserve"> Social 113, se puede planear la creación de herramientas que fomenten acciones que permitan avanzar en las condiciones de seguridad alimentaria y nutricional de la población. Así, el presente proyecto busca la implementación de estrategias encaminadas a fortalecer las articulaciones interinstitucionales, creando alianzas y ampliando la oportunidad de llegar a los habitantes del municipio de Popayán con nuevas ofertas educativas y herramientas que permitan lograr el derecho a la alimentación adecuada. </w:t>
            </w:r>
          </w:p>
          <w:p w14:paraId="5E1873A7"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 xml:space="preserve">A través de la articulación de acciones podemos mitigar la situación de inseguridad alimentaria, ampliando coberturas, buscando un complemento que permita satisfacer las necesidades de la población de acuerdo a las responsabilidades de los diferentes actores que intervienen en la salud alimentaria y nutricional.  </w:t>
            </w:r>
          </w:p>
          <w:p w14:paraId="6B19ACF9" w14:textId="77777777" w:rsidR="00723D37" w:rsidRP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p>
          <w:p w14:paraId="3783A696" w14:textId="77777777" w:rsidR="00723D37"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r w:rsidRPr="00723D37">
              <w:rPr>
                <w:rFonts w:ascii="Century Gothic" w:eastAsia="Century Gothic" w:hAnsi="Century Gothic" w:cs="Century Gothic"/>
                <w:color w:val="000000"/>
                <w:sz w:val="24"/>
                <w:szCs w:val="24"/>
              </w:rPr>
              <w:t>Finalmente, la seguridad alimentaria y nutricional en Popayán no solo responde a la necesidad inmediata de abastecimiento de alimentos, sino que también se convierte en un pilar esencial para el desarrollo sostenible, la equidad social, la preservación de la cultura local y la mejora de la calidad de vida de sus habitantes, es imperativo abordar estas cuestiones de manera integral para construir un futuro donde cada residente de Popayán tenga acceso a una alimentación saludable y nutritiva</w:t>
            </w:r>
            <w:r>
              <w:rPr>
                <w:rFonts w:ascii="Century Gothic" w:eastAsia="Century Gothic" w:hAnsi="Century Gothic" w:cs="Century Gothic"/>
                <w:color w:val="000000"/>
                <w:sz w:val="24"/>
                <w:szCs w:val="24"/>
              </w:rPr>
              <w:t>.</w:t>
            </w:r>
          </w:p>
          <w:p w14:paraId="5C2F0C10" w14:textId="160F31A9" w:rsidR="00723D37" w:rsidRPr="006062A1" w:rsidRDefault="00723D37" w:rsidP="00723D37">
            <w:pPr>
              <w:pBdr>
                <w:top w:val="nil"/>
                <w:left w:val="nil"/>
                <w:bottom w:val="nil"/>
                <w:right w:val="nil"/>
                <w:between w:val="nil"/>
              </w:pBdr>
              <w:jc w:val="both"/>
              <w:rPr>
                <w:rFonts w:ascii="Century Gothic" w:eastAsia="Century Gothic" w:hAnsi="Century Gothic" w:cs="Century Gothic"/>
                <w:color w:val="000000"/>
                <w:sz w:val="24"/>
                <w:szCs w:val="24"/>
              </w:rPr>
            </w:pPr>
          </w:p>
        </w:tc>
      </w:tr>
      <w:tr w:rsidR="00F51810" w:rsidRPr="006062A1" w14:paraId="0F459D15" w14:textId="77777777">
        <w:tc>
          <w:tcPr>
            <w:tcW w:w="9639" w:type="dxa"/>
            <w:gridSpan w:val="4"/>
            <w:shd w:val="clear" w:color="auto" w:fill="BFBFBF"/>
          </w:tcPr>
          <w:p w14:paraId="45C770F7" w14:textId="77777777" w:rsidR="00F51810" w:rsidRPr="006062A1" w:rsidRDefault="007A47BF">
            <w:pPr>
              <w:tabs>
                <w:tab w:val="center" w:pos="4711"/>
                <w:tab w:val="left" w:pos="7950"/>
              </w:tabs>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lastRenderedPageBreak/>
              <w:t>DESCRIPCIÓN DEL PROBLEMA</w:t>
            </w:r>
          </w:p>
        </w:tc>
      </w:tr>
      <w:tr w:rsidR="00F51810" w:rsidRPr="006062A1" w14:paraId="6E01AB76" w14:textId="77777777">
        <w:tc>
          <w:tcPr>
            <w:tcW w:w="9639" w:type="dxa"/>
            <w:gridSpan w:val="4"/>
            <w:shd w:val="clear" w:color="auto" w:fill="FFFFFF"/>
          </w:tcPr>
          <w:p w14:paraId="2FAF23F2" w14:textId="77777777" w:rsidR="00723D37" w:rsidRDefault="00723D37" w:rsidP="00835123">
            <w:pPr>
              <w:tabs>
                <w:tab w:val="center" w:pos="4711"/>
                <w:tab w:val="left" w:pos="7950"/>
              </w:tabs>
              <w:jc w:val="both"/>
              <w:rPr>
                <w:rFonts w:ascii="Century Gothic" w:hAnsi="Century Gothic"/>
                <w:sz w:val="24"/>
                <w:szCs w:val="24"/>
              </w:rPr>
            </w:pPr>
            <w:r w:rsidRPr="00723D37">
              <w:rPr>
                <w:rFonts w:ascii="Century Gothic" w:hAnsi="Century Gothic"/>
                <w:sz w:val="24"/>
                <w:szCs w:val="24"/>
              </w:rPr>
              <w:t xml:space="preserve">El envejecimiento biológico del ser humano es el que se da con la pérdida paulatina de energía que hace que nuestro rendimiento disminuya para el </w:t>
            </w:r>
            <w:r w:rsidRPr="00723D37">
              <w:rPr>
                <w:rFonts w:ascii="Century Gothic" w:hAnsi="Century Gothic"/>
                <w:sz w:val="24"/>
                <w:szCs w:val="24"/>
              </w:rPr>
              <w:lastRenderedPageBreak/>
              <w:t xml:space="preserve">desarrollo de las actividades cotidianas que podíamos realizar, cuando el cuerpo se desgasta física y emocionalmente. La esperanza de vida al nacer en Colombia (que corresponde al número promedio de años que viviría una persona, siempre y cuando se mantengan las tendencias de mortalidad existentes en un determinado período), es de 74 años; las mujeres viven, en promedio, 6,8 años más que los hombres. Fuente DANE, 2022. </w:t>
            </w:r>
          </w:p>
          <w:p w14:paraId="1C8F90FE" w14:textId="77777777" w:rsidR="00723D37" w:rsidRDefault="00723D37" w:rsidP="00835123">
            <w:pPr>
              <w:tabs>
                <w:tab w:val="center" w:pos="4711"/>
                <w:tab w:val="left" w:pos="7950"/>
              </w:tabs>
              <w:jc w:val="both"/>
              <w:rPr>
                <w:rFonts w:ascii="Century Gothic" w:hAnsi="Century Gothic"/>
                <w:sz w:val="24"/>
                <w:szCs w:val="24"/>
              </w:rPr>
            </w:pPr>
          </w:p>
          <w:p w14:paraId="60B9B13B" w14:textId="77777777" w:rsidR="00723D37" w:rsidRDefault="00723D37" w:rsidP="00835123">
            <w:pPr>
              <w:tabs>
                <w:tab w:val="center" w:pos="4711"/>
                <w:tab w:val="left" w:pos="7950"/>
              </w:tabs>
              <w:jc w:val="both"/>
              <w:rPr>
                <w:rFonts w:ascii="Century Gothic" w:hAnsi="Century Gothic"/>
                <w:sz w:val="24"/>
                <w:szCs w:val="24"/>
              </w:rPr>
            </w:pPr>
            <w:r w:rsidRPr="00723D37">
              <w:rPr>
                <w:rFonts w:ascii="Century Gothic" w:hAnsi="Century Gothic"/>
                <w:sz w:val="24"/>
                <w:szCs w:val="24"/>
              </w:rPr>
              <w:t xml:space="preserve">Las personas mayores sufren de estigma y discriminación en relación a su edad, no cuentan con servicios de salud adecuados, y su independencia y autonomía no son respetadas, así como sus derechos. De ahí la necesidad de promover y garantizar el reconocimiento y el ejercicio de sus derechos como seres humanos. </w:t>
            </w:r>
          </w:p>
          <w:p w14:paraId="42E59308" w14:textId="77777777" w:rsidR="00723D37" w:rsidRDefault="00723D37" w:rsidP="00835123">
            <w:pPr>
              <w:tabs>
                <w:tab w:val="center" w:pos="4711"/>
                <w:tab w:val="left" w:pos="7950"/>
              </w:tabs>
              <w:jc w:val="both"/>
              <w:rPr>
                <w:rFonts w:ascii="Century Gothic" w:hAnsi="Century Gothic"/>
                <w:sz w:val="24"/>
                <w:szCs w:val="24"/>
              </w:rPr>
            </w:pPr>
          </w:p>
          <w:p w14:paraId="375FE636" w14:textId="77777777" w:rsidR="00723D37" w:rsidRDefault="00723D37" w:rsidP="00835123">
            <w:pPr>
              <w:tabs>
                <w:tab w:val="center" w:pos="4711"/>
                <w:tab w:val="left" w:pos="7950"/>
              </w:tabs>
              <w:jc w:val="both"/>
              <w:rPr>
                <w:rFonts w:ascii="Century Gothic" w:hAnsi="Century Gothic"/>
                <w:sz w:val="24"/>
                <w:szCs w:val="24"/>
              </w:rPr>
            </w:pPr>
            <w:r w:rsidRPr="00723D37">
              <w:rPr>
                <w:rFonts w:ascii="Century Gothic" w:hAnsi="Century Gothic"/>
                <w:sz w:val="24"/>
                <w:szCs w:val="24"/>
              </w:rPr>
              <w:t xml:space="preserve">Las personas adultas mayores tienen derecho a los alimentos y demás medios para su mantenimiento físico, psicológico, espiritual, moral, cultural y social, derechos que sólo serán proporcionados por quienes se encuentran obligados de acuerdo con la ley y su capacidad económica. Aquellos adultos mayores que no cuentan con una solvencia económica ni el apoyo de sus familiares, sufren de la vulneración de sus derechos, pues no cuentan con acceso a vivienda, alimentación, techo, vestido acceso a servicios de salud, cuidado físico y emocional, viéndose obligados a vivir en condiciones infrahumanas al finalizar sus años de vida. </w:t>
            </w:r>
          </w:p>
          <w:p w14:paraId="6F8AF24F" w14:textId="77777777" w:rsidR="00723D37" w:rsidRDefault="00723D37" w:rsidP="00835123">
            <w:pPr>
              <w:tabs>
                <w:tab w:val="center" w:pos="4711"/>
                <w:tab w:val="left" w:pos="7950"/>
              </w:tabs>
              <w:jc w:val="both"/>
              <w:rPr>
                <w:rFonts w:ascii="Century Gothic" w:hAnsi="Century Gothic"/>
                <w:sz w:val="24"/>
                <w:szCs w:val="24"/>
              </w:rPr>
            </w:pPr>
          </w:p>
          <w:p w14:paraId="16E7D566" w14:textId="750F85BF" w:rsidR="006062A1" w:rsidRDefault="00723D37" w:rsidP="00835123">
            <w:pPr>
              <w:tabs>
                <w:tab w:val="center" w:pos="4711"/>
                <w:tab w:val="left" w:pos="7950"/>
              </w:tabs>
              <w:jc w:val="both"/>
              <w:rPr>
                <w:rFonts w:ascii="Century Gothic" w:hAnsi="Century Gothic"/>
                <w:sz w:val="24"/>
                <w:szCs w:val="24"/>
              </w:rPr>
            </w:pPr>
            <w:r w:rsidRPr="00723D37">
              <w:rPr>
                <w:rFonts w:ascii="Century Gothic" w:hAnsi="Century Gothic"/>
                <w:sz w:val="24"/>
                <w:szCs w:val="24"/>
              </w:rPr>
              <w:t>Existe deficiencia en las acciones de promoción, protección y ejercicio de los derechos humanos de las personas adultas mayores en el municipio de Popayán. Tanto el estado como las instituciones y los familiares de los adultos mayores, no brindan la garantía del acceso a los derechos humanos de esta población, por ello la importancia de este proyecto a ejecutar desde el municipio de Popayán, para mejorar la calidad de vida de los adultos mayores, quienes en su juventud aportaron a la sociedad.</w:t>
            </w:r>
          </w:p>
          <w:p w14:paraId="6A68B206" w14:textId="77777777" w:rsidR="0017651C" w:rsidRDefault="0017651C" w:rsidP="00835123">
            <w:pPr>
              <w:tabs>
                <w:tab w:val="center" w:pos="4711"/>
                <w:tab w:val="left" w:pos="7950"/>
              </w:tabs>
              <w:jc w:val="both"/>
              <w:rPr>
                <w:rFonts w:ascii="Century Gothic" w:hAnsi="Century Gothic"/>
                <w:sz w:val="24"/>
                <w:szCs w:val="24"/>
              </w:rPr>
            </w:pPr>
          </w:p>
          <w:p w14:paraId="159B179A" w14:textId="5DCE79C2"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En el ámbito de la seguridad alimentaria y nutricional en Popayán, como muchos otros municipios enfrentan desafíos comunes relacionados con, uno de ellos es el acceso desigual a alimentos, lo que conlleva a una inequidad socioeconómica que no es más que la distribución desigual de recursos económicos, lo cual puede resultar en un acceso desigual a alimentos nutritivos, afectando a grupos más vulnerables y de bajos ingresos.</w:t>
            </w:r>
          </w:p>
          <w:p w14:paraId="79E53DEB" w14:textId="77777777" w:rsidR="0017651C" w:rsidRPr="00FB0CB3" w:rsidRDefault="0017651C" w:rsidP="0017651C">
            <w:pPr>
              <w:spacing w:line="276" w:lineRule="auto"/>
              <w:jc w:val="both"/>
              <w:rPr>
                <w:rFonts w:ascii="Century Gothic" w:eastAsia="Arial" w:hAnsi="Century Gothic" w:cs="Arial"/>
                <w:sz w:val="24"/>
                <w:szCs w:val="24"/>
              </w:rPr>
            </w:pPr>
          </w:p>
          <w:p w14:paraId="6A854B71" w14:textId="1CB00011"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 xml:space="preserve">Es importante resaltar que también existen eventos económicos adversos que pueden aumentar la inseguridad alimentaria, especialmente para hogares con bajos ingresos y dependientes de sectores vulnerables “población adulto mayor”, incluida la desnutrición puede ser un problema, afectando el desarrollo físico y cognitivo de los </w:t>
            </w:r>
            <w:r w:rsidR="009E280D" w:rsidRPr="00FB0CB3">
              <w:rPr>
                <w:rFonts w:ascii="Century Gothic" w:eastAsia="Arial" w:hAnsi="Century Gothic" w:cs="Arial"/>
                <w:sz w:val="24"/>
                <w:szCs w:val="24"/>
              </w:rPr>
              <w:t>adultos mayores</w:t>
            </w:r>
            <w:r w:rsidRPr="00FB0CB3">
              <w:rPr>
                <w:rFonts w:ascii="Century Gothic" w:eastAsia="Arial" w:hAnsi="Century Gothic" w:cs="Arial"/>
                <w:sz w:val="24"/>
                <w:szCs w:val="24"/>
              </w:rPr>
              <w:t xml:space="preserve">, otro problema importante está relacionado con </w:t>
            </w:r>
            <w:r w:rsidRPr="00FB0CB3">
              <w:rPr>
                <w:rFonts w:ascii="Century Gothic" w:eastAsia="Arial" w:hAnsi="Century Gothic" w:cs="Arial"/>
                <w:sz w:val="24"/>
                <w:szCs w:val="24"/>
              </w:rPr>
              <w:lastRenderedPageBreak/>
              <w:t>la falta de diversificación en la producción y consumo de alimentos puede contribuir a deficiencias nutricionales y limitar el acceso a una dieta equilibrada, donde existe una baja inversión en los sistemas de producción agrícola que apunten a tecnificar los procesos de tal manera que exista mayor producción y optimización de tiempos para producción de frutas y verduras, ya que eventos climáticos extremos y cambios climáticos pueden afectar negativamente la producción agrícola, comprometiendo la oferta de alimentos locales.</w:t>
            </w:r>
          </w:p>
          <w:p w14:paraId="16AC1D9F" w14:textId="77777777" w:rsidR="0017651C" w:rsidRPr="00FB0CB3" w:rsidRDefault="0017651C" w:rsidP="0017651C">
            <w:pPr>
              <w:spacing w:line="276" w:lineRule="auto"/>
              <w:jc w:val="both"/>
              <w:rPr>
                <w:rFonts w:ascii="Century Gothic" w:eastAsia="Arial" w:hAnsi="Century Gothic" w:cs="Arial"/>
                <w:sz w:val="24"/>
                <w:szCs w:val="24"/>
              </w:rPr>
            </w:pPr>
          </w:p>
          <w:p w14:paraId="63F921FE" w14:textId="77777777"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Otro problema no menos relevante es la falta de infraestructuras adecuadas para el almacenamiento y distribución de alimentos que puede afectar la disponibilidad y acceso a productos frescos, la falta de conciencia sobre la importancia de una alimentación saludable y equilibrada puede contribuir a hábitos alimentarios no saludables.</w:t>
            </w:r>
          </w:p>
          <w:p w14:paraId="679A072E" w14:textId="77777777" w:rsidR="0017651C" w:rsidRPr="00FB0CB3" w:rsidRDefault="0017651C" w:rsidP="0017651C">
            <w:pPr>
              <w:spacing w:line="276" w:lineRule="auto"/>
              <w:jc w:val="both"/>
              <w:rPr>
                <w:rFonts w:ascii="Century Gothic" w:eastAsia="Arial" w:hAnsi="Century Gothic" w:cs="Arial"/>
                <w:sz w:val="24"/>
                <w:szCs w:val="24"/>
              </w:rPr>
            </w:pPr>
          </w:p>
          <w:p w14:paraId="753A7DF3" w14:textId="77777777"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Por otro lado el incremento a la vulnerabilidad del derecho humano a la alimentación adecuada en el municipio de Popayán, es una situación generada por la dificultad para acceder y disponer de alimentos y por tanto el bajo consumo de los mismos, causando afectaciones de salud debido a la ingesta de alimentos inadecuados y de bajo valor nutricional; Además, se evidencia un incremento en las problemáticas sociales como resultado del aumento en los grados de pobreza de la población relacionada a la insuficiencia de empleo en el municipio, aumento del costo de vida y la limitada producción y disponibilidad de alimentos, lo cual lleva a aprovisionarse a través de medios externos.</w:t>
            </w:r>
          </w:p>
          <w:p w14:paraId="5FFEBA4D" w14:textId="77777777" w:rsidR="0017651C" w:rsidRPr="00FB0CB3" w:rsidRDefault="0017651C" w:rsidP="0017651C">
            <w:pPr>
              <w:spacing w:line="276" w:lineRule="auto"/>
              <w:jc w:val="both"/>
              <w:rPr>
                <w:rFonts w:ascii="Century Gothic" w:eastAsia="Arial" w:hAnsi="Century Gothic" w:cs="Arial"/>
                <w:sz w:val="24"/>
                <w:szCs w:val="24"/>
              </w:rPr>
            </w:pPr>
          </w:p>
          <w:p w14:paraId="589718AE" w14:textId="4F99273C"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 xml:space="preserve">Asimismo, se debe considerar que el municipio cuenta con la presencia de gran cantidad de población migrante la cual desempeña actividades comerciales informales, generando así limitantes y brechas para la adquisición de ingresos influyendo en los habitantes del municipio de Popayán en relación a la falta de oportunidades laborales que permitan la adquisición de recursos para suplir las necesidades nutricionales debido os limitantes para el acceso de los alimentos y a la baja disponibilidad de alimentos adecuados e inocuos, los cuales afectan la salud de la población del municipio de Popayán.  Se considera la población migrante dentro del problema central debido a que afecta el empleo y oportunidades de los nacionales, generando dificultades para la adquisición y el acceso a los alimentos. Como consecuencia, los </w:t>
            </w:r>
            <w:r w:rsidR="009E280D" w:rsidRPr="00FB0CB3">
              <w:rPr>
                <w:rFonts w:ascii="Century Gothic" w:eastAsia="Arial" w:hAnsi="Century Gothic" w:cs="Arial"/>
                <w:sz w:val="24"/>
                <w:szCs w:val="24"/>
              </w:rPr>
              <w:t>adultos mayores</w:t>
            </w:r>
            <w:r w:rsidRPr="00FB0CB3">
              <w:rPr>
                <w:rFonts w:ascii="Century Gothic" w:eastAsia="Arial" w:hAnsi="Century Gothic" w:cs="Arial"/>
                <w:sz w:val="24"/>
                <w:szCs w:val="24"/>
              </w:rPr>
              <w:t xml:space="preserve"> no tienen los nutrientes necesarios para </w:t>
            </w:r>
            <w:r w:rsidR="009E280D" w:rsidRPr="00FB0CB3">
              <w:rPr>
                <w:rFonts w:ascii="Century Gothic" w:eastAsia="Arial" w:hAnsi="Century Gothic" w:cs="Arial"/>
                <w:sz w:val="24"/>
                <w:szCs w:val="24"/>
              </w:rPr>
              <w:t>ejercer actividades</w:t>
            </w:r>
            <w:r w:rsidRPr="00FB0CB3">
              <w:rPr>
                <w:rFonts w:ascii="Century Gothic" w:eastAsia="Arial" w:hAnsi="Century Gothic" w:cs="Arial"/>
                <w:sz w:val="24"/>
                <w:szCs w:val="24"/>
              </w:rPr>
              <w:t xml:space="preserve"> correctamente y se enfrentan a graves problemas de salud. La demanda de alimentos por la familia está determinada por el número de personas que la conforma, la edad, el sexo y el </w:t>
            </w:r>
            <w:r w:rsidRPr="00FB0CB3">
              <w:rPr>
                <w:rFonts w:ascii="Century Gothic" w:eastAsia="Arial" w:hAnsi="Century Gothic" w:cs="Arial"/>
                <w:sz w:val="24"/>
                <w:szCs w:val="24"/>
              </w:rPr>
              <w:lastRenderedPageBreak/>
              <w:t xml:space="preserve">estado fisiológico; por la cultura alimentaria y su capacidad económica de adquirir bienes y servicios relacionados con la alimentación; esto último está en estrecha relación con la ocupación de los miembros de la familia. </w:t>
            </w:r>
          </w:p>
          <w:p w14:paraId="05D1720B" w14:textId="77777777" w:rsidR="00AB469B" w:rsidRPr="00FB0CB3" w:rsidRDefault="00AB469B" w:rsidP="0017651C">
            <w:pPr>
              <w:spacing w:line="276" w:lineRule="auto"/>
              <w:jc w:val="both"/>
              <w:rPr>
                <w:rFonts w:ascii="Century Gothic" w:eastAsia="Arial" w:hAnsi="Century Gothic" w:cs="Arial"/>
                <w:sz w:val="24"/>
                <w:szCs w:val="24"/>
              </w:rPr>
            </w:pPr>
          </w:p>
          <w:p w14:paraId="441C457D" w14:textId="77777777"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El Comportamiento alimentario inadecuado, la disponibilidad insuficiente de alimentos, la baja capacidad adquisitiva, son las causas subyacentes de la mala alimentación y nutrición, las que asociadas a una alimentación son responsables de las manifestaciones de una mal nutrición. Las causas básicas incluirían las estructurales, la alta dependencia externa, la comercialización deficiente, los bajos ingresos y el bajo nivel educativo, entre otros.</w:t>
            </w:r>
          </w:p>
          <w:p w14:paraId="0BA29DA3" w14:textId="77777777" w:rsidR="0017651C" w:rsidRPr="00FB0CB3" w:rsidRDefault="0017651C" w:rsidP="0017651C">
            <w:pPr>
              <w:spacing w:line="276" w:lineRule="auto"/>
              <w:jc w:val="both"/>
              <w:rPr>
                <w:rFonts w:ascii="Century Gothic" w:eastAsia="Arial" w:hAnsi="Century Gothic" w:cs="Arial"/>
                <w:sz w:val="24"/>
                <w:szCs w:val="24"/>
              </w:rPr>
            </w:pPr>
          </w:p>
          <w:p w14:paraId="788625CB" w14:textId="52C3C92C"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 xml:space="preserve">Por otro lado, cuando las personas, y en particular los </w:t>
            </w:r>
            <w:r w:rsidR="0005754F" w:rsidRPr="00FB0CB3">
              <w:rPr>
                <w:rFonts w:ascii="Century Gothic" w:eastAsia="Arial" w:hAnsi="Century Gothic" w:cs="Arial"/>
                <w:sz w:val="24"/>
                <w:szCs w:val="24"/>
              </w:rPr>
              <w:t xml:space="preserve">adultos mayores y </w:t>
            </w:r>
            <w:r w:rsidRPr="00FB0CB3">
              <w:rPr>
                <w:rFonts w:ascii="Century Gothic" w:eastAsia="Arial" w:hAnsi="Century Gothic" w:cs="Arial"/>
                <w:sz w:val="24"/>
                <w:szCs w:val="24"/>
              </w:rPr>
              <w:t>niños, relacionan la comida con el placer, a menudo olvidan la importancia nutritiva del alimento. Esto ocurre por ejemplo en países en los cuales la población jamás ha encontrado dificultades en cuanto a la cantidad o la accesibilidad a alimentos. Los restaurantes de comida rápida, las sodas azucaradas, los alimentos ricos en lípidos y glúcidos resultan entonces ser los platos favoritos de los adolescentes y de los más jóvenes.</w:t>
            </w:r>
          </w:p>
          <w:p w14:paraId="18F3B644" w14:textId="77777777" w:rsidR="001A2CDF" w:rsidRPr="00FB0CB3" w:rsidRDefault="001A2CDF" w:rsidP="0017651C">
            <w:pPr>
              <w:spacing w:line="276" w:lineRule="auto"/>
              <w:jc w:val="both"/>
              <w:rPr>
                <w:rFonts w:ascii="Century Gothic" w:eastAsia="Arial" w:hAnsi="Century Gothic" w:cs="Arial"/>
                <w:sz w:val="24"/>
                <w:szCs w:val="24"/>
              </w:rPr>
            </w:pPr>
          </w:p>
          <w:p w14:paraId="4D64C3B2" w14:textId="1083BFAC" w:rsidR="0017651C" w:rsidRPr="00FB0CB3" w:rsidRDefault="0017651C" w:rsidP="0017651C">
            <w:pPr>
              <w:spacing w:line="276" w:lineRule="auto"/>
              <w:jc w:val="both"/>
              <w:rPr>
                <w:rFonts w:ascii="Century Gothic" w:eastAsia="Arial" w:hAnsi="Century Gothic" w:cs="Arial"/>
                <w:sz w:val="24"/>
                <w:szCs w:val="24"/>
              </w:rPr>
            </w:pPr>
            <w:r w:rsidRPr="00FB0CB3">
              <w:rPr>
                <w:rFonts w:ascii="Century Gothic" w:eastAsia="Arial" w:hAnsi="Century Gothic" w:cs="Arial"/>
                <w:sz w:val="24"/>
                <w:szCs w:val="24"/>
              </w:rPr>
              <w:t xml:space="preserve">Así, los problemas de sobrepeso </w:t>
            </w:r>
            <w:r w:rsidR="00514344" w:rsidRPr="00FB0CB3">
              <w:rPr>
                <w:rFonts w:ascii="Century Gothic" w:eastAsia="Arial" w:hAnsi="Century Gothic" w:cs="Arial"/>
                <w:sz w:val="24"/>
                <w:szCs w:val="24"/>
              </w:rPr>
              <w:t xml:space="preserve">y desnutrición </w:t>
            </w:r>
            <w:r w:rsidRPr="00FB0CB3">
              <w:rPr>
                <w:rFonts w:ascii="Century Gothic" w:eastAsia="Arial" w:hAnsi="Century Gothic" w:cs="Arial"/>
                <w:sz w:val="24"/>
                <w:szCs w:val="24"/>
              </w:rPr>
              <w:t>son cada vez más frecuentes y constituyen una amenaza para la salud de los niños y de los adultos. Más aun, el sobrepeso aumenta de manera notable el riesgo de infarto y enfermedades cardiovasculares, así como de desarrollar enfermedades como hipertensión y alta tasa de colesterol y tener problemas de crecimiento. El sobrepeso también genera problemas de malnutrición. La absorción en cantidad excesiva de glúcidos y lípidos, y la falta de productos frescos y naturales engendran carencias nutritivas.</w:t>
            </w:r>
          </w:p>
          <w:p w14:paraId="2DB473AF" w14:textId="77777777" w:rsidR="0017651C" w:rsidRPr="00FB0CB3" w:rsidRDefault="0017651C" w:rsidP="0017651C">
            <w:pPr>
              <w:spacing w:line="276" w:lineRule="auto"/>
              <w:jc w:val="both"/>
              <w:rPr>
                <w:rFonts w:ascii="Century Gothic" w:eastAsia="Arial" w:hAnsi="Century Gothic" w:cs="Arial"/>
                <w:sz w:val="24"/>
                <w:szCs w:val="24"/>
              </w:rPr>
            </w:pPr>
          </w:p>
          <w:p w14:paraId="237046D3" w14:textId="3013309B" w:rsidR="00835123" w:rsidRDefault="0017651C" w:rsidP="00835123">
            <w:pPr>
              <w:tabs>
                <w:tab w:val="center" w:pos="4711"/>
                <w:tab w:val="left" w:pos="7950"/>
              </w:tabs>
              <w:jc w:val="both"/>
              <w:rPr>
                <w:rFonts w:ascii="Century Gothic" w:eastAsia="Arial" w:hAnsi="Century Gothic" w:cs="Arial"/>
                <w:sz w:val="24"/>
                <w:szCs w:val="24"/>
              </w:rPr>
            </w:pPr>
            <w:r w:rsidRPr="00FB0CB3">
              <w:rPr>
                <w:rFonts w:ascii="Century Gothic" w:eastAsia="Arial" w:hAnsi="Century Gothic" w:cs="Arial"/>
                <w:sz w:val="24"/>
                <w:szCs w:val="24"/>
              </w:rPr>
              <w:t>El problema de la seguridad alimentaria y nutricional en Popayán puede resultar en un aumento de enfermedades relacionadas con la malnutrición, impactar el desarrollo físico y cognitivo de la población más joven, y contribuir a la perpetuación del ciclo de pobreza en comunidades vulnerables.</w:t>
            </w:r>
          </w:p>
          <w:p w14:paraId="63ECE361" w14:textId="77777777" w:rsidR="00FB0CB3" w:rsidRDefault="00FB0CB3" w:rsidP="00835123">
            <w:pPr>
              <w:tabs>
                <w:tab w:val="center" w:pos="4711"/>
                <w:tab w:val="left" w:pos="7950"/>
              </w:tabs>
              <w:jc w:val="both"/>
              <w:rPr>
                <w:rFonts w:ascii="Century Gothic" w:eastAsia="Arial" w:hAnsi="Century Gothic" w:cs="Arial"/>
                <w:sz w:val="24"/>
                <w:szCs w:val="24"/>
              </w:rPr>
            </w:pPr>
          </w:p>
          <w:p w14:paraId="3C580B45" w14:textId="13556147" w:rsidR="00FB0CB3" w:rsidRPr="00FB0CB3" w:rsidRDefault="00FB0CB3" w:rsidP="00835123">
            <w:pPr>
              <w:tabs>
                <w:tab w:val="center" w:pos="4711"/>
                <w:tab w:val="left" w:pos="7950"/>
              </w:tabs>
              <w:jc w:val="both"/>
              <w:rPr>
                <w:rFonts w:ascii="Century Gothic" w:eastAsia="Arial" w:hAnsi="Century Gothic" w:cs="Arial"/>
                <w:b/>
                <w:bCs/>
                <w:sz w:val="24"/>
                <w:szCs w:val="24"/>
              </w:rPr>
            </w:pPr>
            <w:r w:rsidRPr="00FB0CB3">
              <w:rPr>
                <w:rFonts w:ascii="Century Gothic" w:eastAsia="Arial" w:hAnsi="Century Gothic" w:cs="Arial"/>
                <w:b/>
                <w:bCs/>
                <w:sz w:val="24"/>
                <w:szCs w:val="24"/>
              </w:rPr>
              <w:t>MAGNITUD DEL PROBLEMA</w:t>
            </w:r>
          </w:p>
          <w:p w14:paraId="7D9DDE32" w14:textId="77777777" w:rsidR="00FB0CB3" w:rsidRDefault="00FB0CB3" w:rsidP="00835123">
            <w:pPr>
              <w:tabs>
                <w:tab w:val="center" w:pos="4711"/>
                <w:tab w:val="left" w:pos="7950"/>
              </w:tabs>
              <w:jc w:val="both"/>
              <w:rPr>
                <w:rFonts w:ascii="Century Gothic" w:eastAsia="Arial" w:hAnsi="Century Gothic" w:cs="Arial"/>
                <w:sz w:val="24"/>
                <w:szCs w:val="24"/>
              </w:rPr>
            </w:pPr>
          </w:p>
          <w:p w14:paraId="75F20C39" w14:textId="77777777" w:rsidR="00FB0CB3" w:rsidRPr="00FB0CB3" w:rsidRDefault="00FB0CB3" w:rsidP="00FB0CB3">
            <w:pPr>
              <w:tabs>
                <w:tab w:val="center" w:pos="4711"/>
                <w:tab w:val="left" w:pos="7950"/>
              </w:tabs>
              <w:jc w:val="both"/>
              <w:rPr>
                <w:rFonts w:ascii="Century Gothic" w:eastAsia="Century Gothic" w:hAnsi="Century Gothic" w:cs="Century Gothic"/>
                <w:bCs/>
                <w:sz w:val="24"/>
                <w:szCs w:val="24"/>
              </w:rPr>
            </w:pPr>
            <w:r w:rsidRPr="00FB0CB3">
              <w:rPr>
                <w:rFonts w:ascii="Century Gothic" w:eastAsia="Century Gothic" w:hAnsi="Century Gothic" w:cs="Century Gothic"/>
                <w:bCs/>
                <w:sz w:val="24"/>
                <w:szCs w:val="24"/>
              </w:rPr>
              <w:t>Según los datos arrojados por la Secretaría de Seguridad Multidimensional (SSM) para el año 2021, la inseguridad alimentaria en el municipio de Popayán asciende a 49.612 personas (correspondiente al 15% del total de la población según proyecciones de población DANE 2021: 330.750).</w:t>
            </w:r>
          </w:p>
          <w:p w14:paraId="492BBDB9" w14:textId="61CBE050" w:rsidR="00FB0CB3" w:rsidRPr="00FB0CB3" w:rsidRDefault="00FB0CB3" w:rsidP="00FB0CB3">
            <w:pPr>
              <w:tabs>
                <w:tab w:val="center" w:pos="4711"/>
                <w:tab w:val="left" w:pos="7950"/>
              </w:tabs>
              <w:jc w:val="both"/>
              <w:rPr>
                <w:rFonts w:ascii="Century Gothic" w:eastAsia="Century Gothic" w:hAnsi="Century Gothic" w:cs="Century Gothic"/>
                <w:bCs/>
                <w:sz w:val="24"/>
                <w:szCs w:val="24"/>
              </w:rPr>
            </w:pPr>
            <w:r w:rsidRPr="00FB0CB3">
              <w:rPr>
                <w:rFonts w:ascii="Century Gothic" w:eastAsia="Century Gothic" w:hAnsi="Century Gothic" w:cs="Century Gothic"/>
                <w:bCs/>
                <w:sz w:val="24"/>
                <w:szCs w:val="24"/>
              </w:rPr>
              <w:lastRenderedPageBreak/>
              <w:t>Dentro de esta proyección se enmarca la población más afectada por la inseguridad alimentaria es la primera infancia, la cual presenta casos recurrentes de bajo peso al nacer y desnutrición aguda y obesidad.</w:t>
            </w:r>
          </w:p>
          <w:p w14:paraId="1745DB7B" w14:textId="633245EA" w:rsidR="00835123" w:rsidRPr="006062A1" w:rsidRDefault="00835123" w:rsidP="00835123">
            <w:pPr>
              <w:tabs>
                <w:tab w:val="center" w:pos="4711"/>
                <w:tab w:val="left" w:pos="7950"/>
              </w:tabs>
              <w:jc w:val="both"/>
              <w:rPr>
                <w:rFonts w:ascii="Century Gothic" w:eastAsia="Century Gothic" w:hAnsi="Century Gothic" w:cs="Century Gothic"/>
                <w:bCs/>
                <w:sz w:val="24"/>
                <w:szCs w:val="24"/>
              </w:rPr>
            </w:pPr>
          </w:p>
        </w:tc>
      </w:tr>
      <w:tr w:rsidR="00F51810" w:rsidRPr="006062A1" w14:paraId="32A37B87" w14:textId="77777777">
        <w:tc>
          <w:tcPr>
            <w:tcW w:w="9639" w:type="dxa"/>
            <w:gridSpan w:val="4"/>
            <w:shd w:val="clear" w:color="auto" w:fill="BFBFBF"/>
          </w:tcPr>
          <w:p w14:paraId="511BCD65" w14:textId="77777777" w:rsidR="00F51810" w:rsidRPr="006062A1" w:rsidRDefault="007A47BF">
            <w:pPr>
              <w:tabs>
                <w:tab w:val="center" w:pos="4711"/>
                <w:tab w:val="left" w:pos="7950"/>
              </w:tabs>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lastRenderedPageBreak/>
              <w:t>CONTRIBUCIÓN A LA POLÍTICA PÚBLICA</w:t>
            </w:r>
          </w:p>
        </w:tc>
      </w:tr>
      <w:tr w:rsidR="00F51810" w:rsidRPr="006062A1" w14:paraId="146A53E9" w14:textId="77777777">
        <w:trPr>
          <w:trHeight w:val="1386"/>
        </w:trPr>
        <w:tc>
          <w:tcPr>
            <w:tcW w:w="9639" w:type="dxa"/>
            <w:gridSpan w:val="4"/>
          </w:tcPr>
          <w:p w14:paraId="27699971" w14:textId="77777777" w:rsidR="00723D37" w:rsidRDefault="00723D37" w:rsidP="00723D37">
            <w:pPr>
              <w:widowControl w:val="0"/>
              <w:numPr>
                <w:ilvl w:val="0"/>
                <w:numId w:val="2"/>
              </w:numPr>
              <w:spacing w:line="256" w:lineRule="auto"/>
              <w:jc w:val="both"/>
              <w:rPr>
                <w:rFonts w:ascii="Arial" w:eastAsia="Arial" w:hAnsi="Arial" w:cs="Arial"/>
                <w:b/>
                <w:color w:val="000000"/>
                <w:sz w:val="24"/>
                <w:szCs w:val="24"/>
              </w:rPr>
            </w:pPr>
            <w:r>
              <w:rPr>
                <w:rFonts w:ascii="Century Gothic" w:eastAsia="Century Gothic" w:hAnsi="Century Gothic" w:cs="Century Gothic"/>
                <w:color w:val="000000"/>
                <w:sz w:val="24"/>
                <w:szCs w:val="24"/>
              </w:rPr>
              <w:tab/>
            </w:r>
            <w:r>
              <w:rPr>
                <w:rFonts w:ascii="Arial" w:eastAsia="Arial" w:hAnsi="Arial" w:cs="Arial"/>
                <w:b/>
                <w:color w:val="000000"/>
                <w:sz w:val="24"/>
                <w:szCs w:val="24"/>
              </w:rPr>
              <w:t>Plan de Desarrollo Nacional (2022-2026) “Colombia Potencia Mundial de la Vida”</w:t>
            </w:r>
          </w:p>
          <w:p w14:paraId="19304970" w14:textId="77777777" w:rsidR="00723D37" w:rsidRDefault="00723D37" w:rsidP="00723D37">
            <w:pPr>
              <w:jc w:val="both"/>
              <w:rPr>
                <w:rFonts w:ascii="Arial" w:eastAsia="Arial" w:hAnsi="Arial" w:cs="Arial"/>
                <w:color w:val="000000"/>
                <w:sz w:val="24"/>
                <w:szCs w:val="24"/>
              </w:rPr>
            </w:pPr>
            <w:r>
              <w:rPr>
                <w:rFonts w:ascii="Arial" w:eastAsia="Arial" w:hAnsi="Arial" w:cs="Arial"/>
                <w:b/>
                <w:color w:val="000000"/>
                <w:sz w:val="24"/>
                <w:szCs w:val="24"/>
              </w:rPr>
              <w:t>Transformación</w:t>
            </w:r>
            <w:r>
              <w:rPr>
                <w:rFonts w:ascii="Arial" w:eastAsia="Arial" w:hAnsi="Arial" w:cs="Arial"/>
                <w:color w:val="000000"/>
                <w:sz w:val="24"/>
                <w:szCs w:val="24"/>
              </w:rPr>
              <w:t>: 3. Derecho Humano a la alimentación</w:t>
            </w:r>
          </w:p>
          <w:p w14:paraId="6C7E08CE" w14:textId="77777777" w:rsidR="00723D37" w:rsidRDefault="00723D37" w:rsidP="00723D37">
            <w:pPr>
              <w:jc w:val="both"/>
              <w:rPr>
                <w:rFonts w:ascii="Arial" w:eastAsia="Arial" w:hAnsi="Arial" w:cs="Arial"/>
                <w:color w:val="000000"/>
                <w:sz w:val="24"/>
                <w:szCs w:val="24"/>
              </w:rPr>
            </w:pPr>
            <w:r>
              <w:rPr>
                <w:rFonts w:ascii="Arial" w:eastAsia="Arial" w:hAnsi="Arial" w:cs="Arial"/>
                <w:b/>
                <w:color w:val="000000"/>
                <w:sz w:val="24"/>
                <w:szCs w:val="24"/>
              </w:rPr>
              <w:t>Catalizador</w:t>
            </w:r>
            <w:r>
              <w:rPr>
                <w:rFonts w:ascii="Arial" w:eastAsia="Arial" w:hAnsi="Arial" w:cs="Arial"/>
                <w:color w:val="000000"/>
                <w:sz w:val="24"/>
                <w:szCs w:val="24"/>
              </w:rPr>
              <w:t>: Adecuación de alimentos</w:t>
            </w:r>
          </w:p>
          <w:p w14:paraId="3A24ACBD" w14:textId="77777777" w:rsidR="00723D37" w:rsidRDefault="00723D37" w:rsidP="00723D37">
            <w:pPr>
              <w:jc w:val="both"/>
              <w:rPr>
                <w:rFonts w:ascii="Arial" w:eastAsia="Arial" w:hAnsi="Arial" w:cs="Arial"/>
                <w:color w:val="000000"/>
                <w:sz w:val="24"/>
                <w:szCs w:val="24"/>
              </w:rPr>
            </w:pPr>
            <w:r>
              <w:rPr>
                <w:rFonts w:ascii="Arial" w:eastAsia="Arial" w:hAnsi="Arial" w:cs="Arial"/>
                <w:b/>
                <w:color w:val="000000"/>
                <w:sz w:val="24"/>
                <w:szCs w:val="24"/>
              </w:rPr>
              <w:t>Pilar</w:t>
            </w:r>
            <w:r>
              <w:rPr>
                <w:rFonts w:ascii="Arial" w:eastAsia="Arial" w:hAnsi="Arial" w:cs="Arial"/>
                <w:color w:val="000000"/>
                <w:sz w:val="24"/>
                <w:szCs w:val="24"/>
              </w:rPr>
              <w:t>: 1. Alimentos sanos y seguros para alimentar a Colombia</w:t>
            </w:r>
          </w:p>
          <w:p w14:paraId="2C03A9B3" w14:textId="77777777" w:rsidR="00723D37" w:rsidRDefault="00723D37" w:rsidP="00723D37">
            <w:pPr>
              <w:numPr>
                <w:ilvl w:val="0"/>
                <w:numId w:val="3"/>
              </w:numPr>
              <w:pBdr>
                <w:top w:val="nil"/>
                <w:left w:val="nil"/>
                <w:bottom w:val="nil"/>
                <w:right w:val="nil"/>
                <w:between w:val="nil"/>
              </w:pBdr>
              <w:spacing w:after="160" w:line="259" w:lineRule="auto"/>
              <w:ind w:left="873"/>
              <w:jc w:val="both"/>
              <w:rPr>
                <w:rFonts w:ascii="Arial" w:eastAsia="Arial" w:hAnsi="Arial" w:cs="Arial"/>
                <w:color w:val="000000"/>
                <w:sz w:val="24"/>
                <w:szCs w:val="24"/>
              </w:rPr>
            </w:pPr>
            <w:r>
              <w:rPr>
                <w:rFonts w:ascii="Arial" w:eastAsia="Arial" w:hAnsi="Arial" w:cs="Arial"/>
                <w:color w:val="000000"/>
                <w:sz w:val="24"/>
                <w:szCs w:val="24"/>
              </w:rPr>
              <w:t>Prácticas de alimentación saludable y adecuadas al curso de la vida, poblaciones y territorios</w:t>
            </w:r>
          </w:p>
          <w:p w14:paraId="2392061B" w14:textId="77777777" w:rsidR="00723D37" w:rsidRDefault="00723D37" w:rsidP="00723D37">
            <w:pPr>
              <w:jc w:val="both"/>
              <w:rPr>
                <w:rFonts w:ascii="Arial" w:eastAsia="Arial" w:hAnsi="Arial" w:cs="Arial"/>
                <w:color w:val="000000"/>
                <w:sz w:val="24"/>
                <w:szCs w:val="24"/>
              </w:rPr>
            </w:pPr>
            <w:r>
              <w:rPr>
                <w:rFonts w:ascii="Arial" w:eastAsia="Arial" w:hAnsi="Arial" w:cs="Arial"/>
                <w:b/>
                <w:color w:val="000000"/>
                <w:sz w:val="24"/>
                <w:szCs w:val="24"/>
              </w:rPr>
              <w:t>Programa</w:t>
            </w:r>
            <w:r>
              <w:rPr>
                <w:rFonts w:ascii="Arial" w:eastAsia="Arial" w:hAnsi="Arial" w:cs="Arial"/>
                <w:color w:val="000000"/>
                <w:sz w:val="24"/>
                <w:szCs w:val="24"/>
              </w:rPr>
              <w:t>: Servicio de apoyo a las unidades productivas para el auto sostenimiento y seguridad alimentaria</w:t>
            </w:r>
          </w:p>
          <w:p w14:paraId="3400F7A0" w14:textId="59A429AC" w:rsidR="00723D37" w:rsidRDefault="00723D37" w:rsidP="00723D37">
            <w:pPr>
              <w:widowControl w:val="0"/>
              <w:numPr>
                <w:ilvl w:val="0"/>
                <w:numId w:val="2"/>
              </w:numPr>
              <w:spacing w:line="256" w:lineRule="auto"/>
              <w:jc w:val="both"/>
              <w:rPr>
                <w:rFonts w:ascii="Arial" w:eastAsia="Arial" w:hAnsi="Arial" w:cs="Arial"/>
                <w:color w:val="000000"/>
                <w:sz w:val="24"/>
                <w:szCs w:val="24"/>
              </w:rPr>
            </w:pPr>
            <w:r>
              <w:rPr>
                <w:rFonts w:ascii="Arial" w:eastAsia="Arial" w:hAnsi="Arial" w:cs="Arial"/>
                <w:b/>
                <w:color w:val="000000"/>
                <w:sz w:val="24"/>
                <w:szCs w:val="24"/>
              </w:rPr>
              <w:t xml:space="preserve">Plan de Desarrollo Departamental Cauca </w:t>
            </w:r>
            <w:r w:rsidR="007B2D17">
              <w:rPr>
                <w:rFonts w:ascii="Arial" w:eastAsia="Arial" w:hAnsi="Arial" w:cs="Arial"/>
                <w:b/>
              </w:rPr>
              <w:t>"La Fuerza del Pueblo" 2024 - 2027</w:t>
            </w:r>
          </w:p>
          <w:p w14:paraId="24288959" w14:textId="1EA62275" w:rsidR="00723D37" w:rsidRDefault="00723D37" w:rsidP="00723D37">
            <w:pPr>
              <w:jc w:val="both"/>
              <w:rPr>
                <w:rFonts w:ascii="Arial" w:eastAsia="Arial" w:hAnsi="Arial" w:cs="Arial"/>
                <w:color w:val="000000"/>
                <w:sz w:val="24"/>
                <w:szCs w:val="24"/>
              </w:rPr>
            </w:pPr>
            <w:r>
              <w:rPr>
                <w:rFonts w:ascii="Arial" w:eastAsia="Arial" w:hAnsi="Arial" w:cs="Arial"/>
                <w:b/>
                <w:color w:val="000000"/>
                <w:sz w:val="24"/>
                <w:szCs w:val="24"/>
              </w:rPr>
              <w:t>Estrategia</w:t>
            </w:r>
            <w:r>
              <w:rPr>
                <w:rFonts w:ascii="Arial" w:eastAsia="Arial" w:hAnsi="Arial" w:cs="Arial"/>
                <w:color w:val="000000"/>
                <w:sz w:val="24"/>
                <w:szCs w:val="24"/>
              </w:rPr>
              <w:t xml:space="preserve">: </w:t>
            </w:r>
            <w:r w:rsidR="007B2D17">
              <w:rPr>
                <w:rFonts w:ascii="Arial" w:eastAsia="Arial" w:hAnsi="Arial" w:cs="Arial"/>
              </w:rPr>
              <w:t>1.2. Cauca Productivo y Sostenible</w:t>
            </w:r>
          </w:p>
          <w:p w14:paraId="4229D51A" w14:textId="4F6C9573" w:rsidR="00723D37" w:rsidRDefault="00723D37" w:rsidP="00723D37">
            <w:pPr>
              <w:jc w:val="both"/>
              <w:rPr>
                <w:rFonts w:ascii="Arial" w:eastAsia="Arial" w:hAnsi="Arial" w:cs="Arial"/>
                <w:color w:val="000000"/>
                <w:sz w:val="24"/>
                <w:szCs w:val="24"/>
              </w:rPr>
            </w:pPr>
            <w:r>
              <w:rPr>
                <w:rFonts w:ascii="Arial" w:eastAsia="Arial" w:hAnsi="Arial" w:cs="Arial"/>
                <w:b/>
                <w:color w:val="000000"/>
                <w:sz w:val="24"/>
                <w:szCs w:val="24"/>
              </w:rPr>
              <w:t>Programa</w:t>
            </w:r>
            <w:r>
              <w:rPr>
                <w:rFonts w:ascii="Arial" w:eastAsia="Arial" w:hAnsi="Arial" w:cs="Arial"/>
                <w:color w:val="000000"/>
                <w:sz w:val="24"/>
                <w:szCs w:val="24"/>
              </w:rPr>
              <w:t xml:space="preserve">: </w:t>
            </w:r>
            <w:r w:rsidR="007B2D17">
              <w:rPr>
                <w:rFonts w:ascii="Arial" w:eastAsia="Arial" w:hAnsi="Arial" w:cs="Arial"/>
              </w:rPr>
              <w:t>1.2.1. Participación del sector agropecuario en el PIB departamental</w:t>
            </w:r>
          </w:p>
          <w:p w14:paraId="59E12202" w14:textId="77777777" w:rsidR="00723D37" w:rsidRDefault="00723D37" w:rsidP="00723D37">
            <w:pPr>
              <w:ind w:left="720"/>
              <w:jc w:val="both"/>
              <w:rPr>
                <w:rFonts w:ascii="Arial" w:eastAsia="Arial" w:hAnsi="Arial" w:cs="Arial"/>
                <w:color w:val="000000"/>
                <w:sz w:val="24"/>
                <w:szCs w:val="24"/>
              </w:rPr>
            </w:pPr>
          </w:p>
          <w:p w14:paraId="2CE27F38" w14:textId="74F3EF4A" w:rsidR="00723D37" w:rsidRDefault="00723D37" w:rsidP="007B2D17">
            <w:pPr>
              <w:widowControl w:val="0"/>
              <w:numPr>
                <w:ilvl w:val="0"/>
                <w:numId w:val="2"/>
              </w:numPr>
              <w:spacing w:line="256" w:lineRule="auto"/>
              <w:jc w:val="both"/>
              <w:rPr>
                <w:rFonts w:ascii="Arial" w:eastAsia="Arial" w:hAnsi="Arial" w:cs="Arial"/>
                <w:b/>
                <w:color w:val="000000"/>
                <w:sz w:val="24"/>
                <w:szCs w:val="24"/>
              </w:rPr>
            </w:pPr>
            <w:r>
              <w:rPr>
                <w:rFonts w:ascii="Arial" w:eastAsia="Arial" w:hAnsi="Arial" w:cs="Arial"/>
                <w:b/>
                <w:color w:val="000000"/>
                <w:sz w:val="24"/>
                <w:szCs w:val="24"/>
              </w:rPr>
              <w:t xml:space="preserve">Plan de Desarrollo Municipal de Popayán </w:t>
            </w:r>
            <w:r w:rsidR="007B2D17">
              <w:rPr>
                <w:rFonts w:ascii="Arial" w:eastAsia="Arial" w:hAnsi="Arial" w:cs="Arial"/>
                <w:b/>
                <w:color w:val="000000"/>
                <w:sz w:val="24"/>
                <w:szCs w:val="24"/>
              </w:rPr>
              <w:t>"Alianza con Popayán"</w:t>
            </w:r>
            <w:r w:rsidR="007B2D17" w:rsidRPr="007B2D17">
              <w:rPr>
                <w:rFonts w:ascii="Arial" w:eastAsia="Arial" w:hAnsi="Arial" w:cs="Arial"/>
                <w:b/>
                <w:color w:val="000000"/>
                <w:sz w:val="24"/>
                <w:szCs w:val="24"/>
              </w:rPr>
              <w:t xml:space="preserve"> 2024 - 2027</w:t>
            </w:r>
          </w:p>
          <w:p w14:paraId="08374EAE" w14:textId="2DCFB1B0" w:rsidR="00723D37" w:rsidRDefault="007B2D17" w:rsidP="00723D37">
            <w:pPr>
              <w:jc w:val="both"/>
              <w:rPr>
                <w:rFonts w:ascii="Arial" w:eastAsia="Arial" w:hAnsi="Arial" w:cs="Arial"/>
                <w:color w:val="000000"/>
                <w:sz w:val="24"/>
                <w:szCs w:val="24"/>
              </w:rPr>
            </w:pPr>
            <w:r w:rsidRPr="007B2D17">
              <w:rPr>
                <w:rFonts w:ascii="Arial" w:eastAsia="Arial" w:hAnsi="Arial" w:cs="Arial"/>
                <w:b/>
                <w:color w:val="000000"/>
                <w:sz w:val="24"/>
                <w:szCs w:val="24"/>
              </w:rPr>
              <w:t>Línea estratégica</w:t>
            </w:r>
            <w:r w:rsidR="00723D37">
              <w:rPr>
                <w:rFonts w:ascii="Arial" w:eastAsia="Arial" w:hAnsi="Arial" w:cs="Arial"/>
                <w:color w:val="000000"/>
                <w:sz w:val="24"/>
                <w:szCs w:val="24"/>
              </w:rPr>
              <w:t xml:space="preserve">: </w:t>
            </w:r>
            <w:r>
              <w:rPr>
                <w:rFonts w:ascii="Arial" w:eastAsia="Arial" w:hAnsi="Arial" w:cs="Arial"/>
              </w:rPr>
              <w:t>5. POPAYÁN COMPETITIVA</w:t>
            </w:r>
          </w:p>
          <w:p w14:paraId="4CD219B0" w14:textId="6DF6D40B" w:rsidR="00723D37" w:rsidRDefault="007B2D17" w:rsidP="00723D37">
            <w:pPr>
              <w:jc w:val="both"/>
              <w:rPr>
                <w:rFonts w:ascii="Arial" w:eastAsia="Arial" w:hAnsi="Arial" w:cs="Arial"/>
                <w:color w:val="000000"/>
                <w:sz w:val="24"/>
                <w:szCs w:val="24"/>
              </w:rPr>
            </w:pPr>
            <w:r w:rsidRPr="007B2D17">
              <w:rPr>
                <w:rFonts w:ascii="Arial" w:eastAsia="Arial" w:hAnsi="Arial" w:cs="Arial"/>
                <w:b/>
                <w:color w:val="000000"/>
                <w:sz w:val="24"/>
                <w:szCs w:val="24"/>
              </w:rPr>
              <w:t>Programa</w:t>
            </w:r>
            <w:r w:rsidR="00723D37">
              <w:rPr>
                <w:rFonts w:ascii="Arial" w:eastAsia="Arial" w:hAnsi="Arial" w:cs="Arial"/>
                <w:color w:val="000000"/>
                <w:sz w:val="24"/>
                <w:szCs w:val="24"/>
              </w:rPr>
              <w:t xml:space="preserve">: </w:t>
            </w:r>
            <w:r w:rsidRPr="00B57F52">
              <w:rPr>
                <w:rFonts w:ascii="Century Gothic" w:eastAsia="Times New Roman" w:hAnsi="Century Gothic" w:cs="Arial"/>
                <w:color w:val="000000"/>
              </w:rPr>
              <w:t>5.2 Alianza con la productividad rural</w:t>
            </w:r>
          </w:p>
          <w:p w14:paraId="44C6A9BB" w14:textId="42A4CFC7" w:rsidR="006062A1" w:rsidRPr="006062A1" w:rsidRDefault="006062A1" w:rsidP="00723D37">
            <w:pPr>
              <w:pBdr>
                <w:top w:val="nil"/>
                <w:left w:val="nil"/>
                <w:bottom w:val="nil"/>
                <w:right w:val="nil"/>
                <w:between w:val="nil"/>
              </w:pBdr>
              <w:tabs>
                <w:tab w:val="left" w:pos="3375"/>
              </w:tabs>
              <w:jc w:val="both"/>
              <w:rPr>
                <w:rFonts w:ascii="Century Gothic" w:eastAsia="Century Gothic" w:hAnsi="Century Gothic" w:cs="Century Gothic"/>
                <w:color w:val="000000"/>
                <w:sz w:val="24"/>
                <w:szCs w:val="24"/>
              </w:rPr>
            </w:pPr>
          </w:p>
        </w:tc>
      </w:tr>
      <w:tr w:rsidR="00F51810" w:rsidRPr="006062A1" w14:paraId="03544841" w14:textId="77777777">
        <w:tc>
          <w:tcPr>
            <w:tcW w:w="9639" w:type="dxa"/>
            <w:gridSpan w:val="4"/>
            <w:shd w:val="clear" w:color="auto" w:fill="BFBFBF"/>
          </w:tcPr>
          <w:p w14:paraId="4E21D77A" w14:textId="77777777" w:rsidR="00F51810" w:rsidRPr="006062A1" w:rsidRDefault="007A47BF">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OBJETIVO GENERAL</w:t>
            </w:r>
          </w:p>
        </w:tc>
      </w:tr>
      <w:tr w:rsidR="006062A1" w:rsidRPr="006062A1" w14:paraId="78B7EB73" w14:textId="77777777">
        <w:tc>
          <w:tcPr>
            <w:tcW w:w="9639" w:type="dxa"/>
            <w:gridSpan w:val="4"/>
          </w:tcPr>
          <w:p w14:paraId="75B9C138" w14:textId="77777777" w:rsidR="006062A1" w:rsidRPr="006062A1" w:rsidRDefault="006062A1" w:rsidP="006062A1">
            <w:pPr>
              <w:pBdr>
                <w:top w:val="nil"/>
                <w:left w:val="nil"/>
                <w:bottom w:val="nil"/>
                <w:right w:val="nil"/>
                <w:between w:val="nil"/>
              </w:pBdr>
              <w:jc w:val="both"/>
              <w:rPr>
                <w:rFonts w:ascii="Century Gothic" w:eastAsia="Century Gothic" w:hAnsi="Century Gothic" w:cs="Century Gothic"/>
                <w:color w:val="000000"/>
                <w:sz w:val="24"/>
                <w:szCs w:val="24"/>
              </w:rPr>
            </w:pPr>
          </w:p>
          <w:p w14:paraId="3B2451A4" w14:textId="6EF15B40" w:rsidR="006062A1" w:rsidRDefault="00FB0CB3" w:rsidP="00FB0CB3">
            <w:pPr>
              <w:pBdr>
                <w:top w:val="nil"/>
                <w:left w:val="nil"/>
                <w:bottom w:val="nil"/>
                <w:right w:val="nil"/>
                <w:between w:val="nil"/>
              </w:pBdr>
              <w:jc w:val="both"/>
              <w:rPr>
                <w:rFonts w:ascii="Century Gothic" w:eastAsia="Century Gothic" w:hAnsi="Century Gothic" w:cs="Century Gothic"/>
                <w:color w:val="000000"/>
                <w:sz w:val="24"/>
                <w:szCs w:val="24"/>
              </w:rPr>
            </w:pPr>
            <w:bookmarkStart w:id="1" w:name="_Hlk163046048"/>
            <w:r w:rsidRPr="00FB0CB3">
              <w:rPr>
                <w:rFonts w:ascii="Century Gothic" w:eastAsia="Century Gothic" w:hAnsi="Century Gothic" w:cs="Century Gothic"/>
                <w:color w:val="000000"/>
                <w:sz w:val="24"/>
                <w:szCs w:val="24"/>
              </w:rPr>
              <w:t xml:space="preserve">Implementar programas de seguridad alimentaria y nutricional en </w:t>
            </w:r>
            <w:r>
              <w:rPr>
                <w:rFonts w:ascii="Century Gothic" w:eastAsia="Century Gothic" w:hAnsi="Century Gothic" w:cs="Century Gothic"/>
                <w:color w:val="000000"/>
                <w:sz w:val="24"/>
                <w:szCs w:val="24"/>
              </w:rPr>
              <w:t>población adulto mayor d</w:t>
            </w:r>
            <w:r w:rsidRPr="00FB0CB3">
              <w:rPr>
                <w:rFonts w:ascii="Century Gothic" w:eastAsia="Century Gothic" w:hAnsi="Century Gothic" w:cs="Century Gothic"/>
                <w:color w:val="000000"/>
                <w:sz w:val="24"/>
                <w:szCs w:val="24"/>
              </w:rPr>
              <w:t>el municipio de Popayán mediante el acceso sostenible y equitativo a alimentos nutritivos</w:t>
            </w:r>
            <w:bookmarkEnd w:id="1"/>
            <w:r w:rsidRPr="00FB0CB3">
              <w:rPr>
                <w:rFonts w:ascii="Century Gothic" w:eastAsia="Century Gothic" w:hAnsi="Century Gothic" w:cs="Century Gothic"/>
                <w:color w:val="000000"/>
                <w:sz w:val="24"/>
                <w:szCs w:val="24"/>
              </w:rPr>
              <w:t>.</w:t>
            </w:r>
          </w:p>
          <w:p w14:paraId="7F945619" w14:textId="72366FC9" w:rsidR="00835123" w:rsidRPr="006062A1" w:rsidRDefault="00835123" w:rsidP="006062A1">
            <w:pPr>
              <w:pBdr>
                <w:top w:val="nil"/>
                <w:left w:val="nil"/>
                <w:bottom w:val="nil"/>
                <w:right w:val="nil"/>
                <w:between w:val="nil"/>
              </w:pBdr>
              <w:ind w:left="720"/>
              <w:jc w:val="both"/>
              <w:rPr>
                <w:rFonts w:ascii="Century Gothic" w:eastAsia="Century Gothic" w:hAnsi="Century Gothic" w:cs="Century Gothic"/>
                <w:color w:val="000000"/>
                <w:sz w:val="24"/>
                <w:szCs w:val="24"/>
              </w:rPr>
            </w:pPr>
          </w:p>
        </w:tc>
      </w:tr>
      <w:tr w:rsidR="006062A1" w:rsidRPr="006062A1" w14:paraId="554CBE28" w14:textId="77777777">
        <w:tc>
          <w:tcPr>
            <w:tcW w:w="9639" w:type="dxa"/>
            <w:gridSpan w:val="4"/>
            <w:shd w:val="clear" w:color="auto" w:fill="BFBFBF"/>
          </w:tcPr>
          <w:p w14:paraId="42D08A0C" w14:textId="77777777" w:rsidR="006062A1" w:rsidRPr="006062A1" w:rsidRDefault="006062A1" w:rsidP="006062A1">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OBJETIVOS ESPECÍFICOS</w:t>
            </w:r>
          </w:p>
        </w:tc>
      </w:tr>
      <w:tr w:rsidR="006062A1" w:rsidRPr="006062A1" w14:paraId="0BF0AA44" w14:textId="77777777">
        <w:tc>
          <w:tcPr>
            <w:tcW w:w="9639" w:type="dxa"/>
            <w:gridSpan w:val="4"/>
            <w:shd w:val="clear" w:color="auto" w:fill="FFFFFF"/>
          </w:tcPr>
          <w:p w14:paraId="2B684920" w14:textId="77777777" w:rsidR="006062A1" w:rsidRDefault="006062A1" w:rsidP="006062A1">
            <w:pPr>
              <w:rPr>
                <w:rFonts w:ascii="Century Gothic" w:eastAsia="Century Gothic" w:hAnsi="Century Gothic" w:cs="Century Gothic"/>
                <w:b/>
                <w:sz w:val="24"/>
                <w:szCs w:val="24"/>
              </w:rPr>
            </w:pPr>
          </w:p>
          <w:p w14:paraId="3A5C2B88" w14:textId="67E8CFC6" w:rsidR="00FB0CB3" w:rsidRPr="00973D46" w:rsidRDefault="00973D46" w:rsidP="00973D46">
            <w:pPr>
              <w:pStyle w:val="Prrafodelista"/>
              <w:numPr>
                <w:ilvl w:val="0"/>
                <w:numId w:val="4"/>
              </w:numPr>
              <w:spacing w:after="0" w:line="240" w:lineRule="auto"/>
              <w:rPr>
                <w:rFonts w:ascii="Century Gothic" w:eastAsia="Century Gothic" w:hAnsi="Century Gothic" w:cs="Century Gothic"/>
                <w:bCs/>
                <w:szCs w:val="24"/>
              </w:rPr>
            </w:pPr>
            <w:r w:rsidRPr="00973D46">
              <w:rPr>
                <w:rFonts w:ascii="Century Gothic" w:eastAsia="Century Gothic" w:hAnsi="Century Gothic" w:cs="Century Gothic"/>
                <w:bCs/>
                <w:szCs w:val="24"/>
              </w:rPr>
              <w:t xml:space="preserve">Fortalecer los conocimientos a través de la promoción de la salud alimentaria y nutricional de la población del municipio de Popayán.  </w:t>
            </w:r>
          </w:p>
          <w:p w14:paraId="3F40A63A" w14:textId="77777777" w:rsidR="00835123" w:rsidRPr="00973D46" w:rsidRDefault="00973D46" w:rsidP="00973D46">
            <w:pPr>
              <w:pStyle w:val="Prrafodelista"/>
              <w:numPr>
                <w:ilvl w:val="0"/>
                <w:numId w:val="4"/>
              </w:numPr>
              <w:spacing w:after="0" w:line="240" w:lineRule="auto"/>
              <w:rPr>
                <w:rFonts w:ascii="Century Gothic" w:eastAsia="Century Gothic" w:hAnsi="Century Gothic" w:cs="Century Gothic"/>
                <w:b/>
                <w:szCs w:val="24"/>
              </w:rPr>
            </w:pPr>
            <w:r w:rsidRPr="00973D46">
              <w:rPr>
                <w:rFonts w:ascii="Century Gothic" w:eastAsia="Century Gothic" w:hAnsi="Century Gothic" w:cs="Century Gothic"/>
                <w:bCs/>
                <w:szCs w:val="24"/>
              </w:rPr>
              <w:t>Mejorar la cobertura en el desarrollo de actividades que promuevan el derecho humano a la alimentació</w:t>
            </w:r>
            <w:r>
              <w:rPr>
                <w:rFonts w:ascii="Century Gothic" w:eastAsia="Century Gothic" w:hAnsi="Century Gothic" w:cs="Century Gothic"/>
                <w:bCs/>
                <w:szCs w:val="24"/>
              </w:rPr>
              <w:t>n</w:t>
            </w:r>
          </w:p>
          <w:p w14:paraId="403B0BBD" w14:textId="77777777" w:rsidR="00973D46" w:rsidRDefault="00973D46" w:rsidP="00973D46">
            <w:pPr>
              <w:pStyle w:val="Prrafodelista"/>
              <w:numPr>
                <w:ilvl w:val="0"/>
                <w:numId w:val="4"/>
              </w:numPr>
              <w:spacing w:after="0" w:line="240" w:lineRule="auto"/>
              <w:rPr>
                <w:rFonts w:ascii="Century Gothic" w:eastAsia="Century Gothic" w:hAnsi="Century Gothic" w:cs="Century Gothic"/>
                <w:bCs/>
                <w:szCs w:val="24"/>
              </w:rPr>
            </w:pPr>
            <w:r w:rsidRPr="00973D46">
              <w:rPr>
                <w:rFonts w:ascii="Century Gothic" w:eastAsia="Century Gothic" w:hAnsi="Century Gothic" w:cs="Century Gothic"/>
                <w:bCs/>
                <w:szCs w:val="24"/>
              </w:rPr>
              <w:t>Fortalecer los hábitos y estilos de vida saludables en nutrición y seguridad alimentaria</w:t>
            </w:r>
          </w:p>
          <w:p w14:paraId="1FEAC0BC" w14:textId="3A1DF93D" w:rsidR="00973D46" w:rsidRPr="00973D46" w:rsidRDefault="00973D46" w:rsidP="00973D46">
            <w:pPr>
              <w:pStyle w:val="Prrafodelista"/>
              <w:spacing w:after="0" w:line="240" w:lineRule="auto"/>
              <w:rPr>
                <w:rFonts w:ascii="Century Gothic" w:eastAsia="Century Gothic" w:hAnsi="Century Gothic" w:cs="Century Gothic"/>
                <w:bCs/>
                <w:szCs w:val="24"/>
              </w:rPr>
            </w:pPr>
          </w:p>
        </w:tc>
      </w:tr>
      <w:tr w:rsidR="006062A1" w:rsidRPr="006062A1" w14:paraId="3CF31607" w14:textId="77777777">
        <w:tc>
          <w:tcPr>
            <w:tcW w:w="9639" w:type="dxa"/>
            <w:gridSpan w:val="4"/>
            <w:shd w:val="clear" w:color="auto" w:fill="BFBFBF"/>
          </w:tcPr>
          <w:p w14:paraId="2AC0AE7F" w14:textId="77777777" w:rsidR="006062A1" w:rsidRPr="006062A1" w:rsidRDefault="006062A1" w:rsidP="006062A1">
            <w:pPr>
              <w:jc w:val="center"/>
              <w:rPr>
                <w:rFonts w:ascii="Century Gothic" w:eastAsia="Century Gothic" w:hAnsi="Century Gothic" w:cs="Century Gothic"/>
                <w:b/>
                <w:sz w:val="24"/>
                <w:szCs w:val="24"/>
              </w:rPr>
            </w:pPr>
            <w:bookmarkStart w:id="2" w:name="_heading=h.gjdgxs" w:colFirst="0" w:colLast="0"/>
            <w:bookmarkEnd w:id="2"/>
            <w:r w:rsidRPr="006062A1">
              <w:rPr>
                <w:rFonts w:ascii="Century Gothic" w:eastAsia="Century Gothic" w:hAnsi="Century Gothic" w:cs="Century Gothic"/>
                <w:b/>
                <w:sz w:val="24"/>
                <w:szCs w:val="24"/>
              </w:rPr>
              <w:t>DESCRIPCIÓN DEL PROYECTO</w:t>
            </w:r>
          </w:p>
        </w:tc>
      </w:tr>
      <w:tr w:rsidR="006062A1" w:rsidRPr="006062A1" w14:paraId="3B8DF3E2" w14:textId="77777777">
        <w:tc>
          <w:tcPr>
            <w:tcW w:w="9639" w:type="dxa"/>
            <w:gridSpan w:val="4"/>
            <w:shd w:val="clear" w:color="auto" w:fill="FFFFFF"/>
          </w:tcPr>
          <w:p w14:paraId="3C6E62D1" w14:textId="77777777" w:rsidR="006062A1" w:rsidRDefault="006062A1" w:rsidP="006062A1">
            <w:pPr>
              <w:tabs>
                <w:tab w:val="left" w:pos="3435"/>
                <w:tab w:val="left" w:pos="3750"/>
                <w:tab w:val="left" w:pos="5580"/>
              </w:tabs>
              <w:jc w:val="both"/>
              <w:rPr>
                <w:rFonts w:ascii="Century Gothic" w:eastAsia="Century Gothic" w:hAnsi="Century Gothic" w:cs="Century Gothic"/>
                <w:sz w:val="24"/>
                <w:szCs w:val="24"/>
              </w:rPr>
            </w:pPr>
          </w:p>
          <w:p w14:paraId="7AC418A3" w14:textId="77777777"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r w:rsidRPr="00973D46">
              <w:rPr>
                <w:rFonts w:ascii="Century Gothic" w:eastAsia="Century Gothic" w:hAnsi="Century Gothic" w:cs="Century Gothic"/>
                <w:sz w:val="24"/>
                <w:szCs w:val="24"/>
              </w:rPr>
              <w:t xml:space="preserve">El proyecto a continuación presenta la importancia que otorga a la seguridad alimentaria y nutricional de sus habitantes. En el marco de la tradición y progreso, la ciudad busca garantizar que cada individuo tenga acceso a alimentos suficientes, seguros y nutritivos, promoviendo así una calidad de vida equitativa y sostenible. Todo lo anterior acompañado de una propuesta que se enmarque en </w:t>
            </w:r>
            <w:r w:rsidRPr="00973D46">
              <w:rPr>
                <w:rFonts w:ascii="Century Gothic" w:eastAsia="Century Gothic" w:hAnsi="Century Gothic" w:cs="Century Gothic"/>
                <w:sz w:val="24"/>
                <w:szCs w:val="24"/>
              </w:rPr>
              <w:lastRenderedPageBreak/>
              <w:t>la sostenibilidad a través de iniciativas como la agricultura 4.0 que aporta a la optimización de la producción de alimentos y con ello contribuye a la seguridad alimentaria nutricional y de calidad.</w:t>
            </w:r>
          </w:p>
          <w:p w14:paraId="4FF21455" w14:textId="77777777"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p>
          <w:p w14:paraId="1502E91B" w14:textId="77777777"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r w:rsidRPr="00973D46">
              <w:rPr>
                <w:rFonts w:ascii="Century Gothic" w:eastAsia="Century Gothic" w:hAnsi="Century Gothic" w:cs="Century Gothic"/>
                <w:sz w:val="24"/>
                <w:szCs w:val="24"/>
              </w:rPr>
              <w:t xml:space="preserve">A través de esta iniciativa se busca promover la siembra de alimentos para autoconsumo en las familias más vulnerables y a la vez brindar educación nutricional buscando adoptar conductas alimentarias y costumbres alimentarias adecuadas en el municipio de Popayán. </w:t>
            </w:r>
          </w:p>
          <w:p w14:paraId="2BB57DB0" w14:textId="77777777"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p>
          <w:p w14:paraId="6CA38A59" w14:textId="77777777"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r w:rsidRPr="00973D46">
              <w:rPr>
                <w:rFonts w:ascii="Century Gothic" w:eastAsia="Century Gothic" w:hAnsi="Century Gothic" w:cs="Century Gothic"/>
                <w:sz w:val="24"/>
                <w:szCs w:val="24"/>
              </w:rPr>
              <w:t>El panorama alimentario y nutricional de Popayán refleja la diversidad de su población y la complejidad de sus desafíos. A medida que la ciudad avanza hacia un futuro innovador, surge la necesidad de abordar cuestiones críticas relacionadas con la producción de alimentos, la distribución equitativa, la educación alimentaria y la resiliencia ante factores externos como el cambio climático, por lo tanto en esta búsqueda de un equilibrio entre las tradiciones arraigadas y las demandas de un mundo en constante evolución, el municipio de Popayán se propone el desarrollo de un proyecto para fortalecer la seguridad alimentaria y nutricional. Este proyecto se fundamenta en la colaboración activa de la comunidad, el compromiso del sector público y privado, y la implementación de estrategias integrales que desde el municipio aborden no solo la disponibilidad física de alimentos, sino también la accesibilidad económica y la calidad nutricional de la dieta.</w:t>
            </w:r>
          </w:p>
          <w:p w14:paraId="58FF6820" w14:textId="77777777"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p>
          <w:p w14:paraId="6E3D7A99" w14:textId="4235E760" w:rsidR="006062A1" w:rsidRDefault="00973D46" w:rsidP="006062A1">
            <w:pPr>
              <w:tabs>
                <w:tab w:val="left" w:pos="3435"/>
                <w:tab w:val="left" w:pos="3750"/>
                <w:tab w:val="left" w:pos="5580"/>
              </w:tabs>
              <w:jc w:val="both"/>
              <w:rPr>
                <w:rFonts w:ascii="Century Gothic" w:eastAsia="Century Gothic" w:hAnsi="Century Gothic" w:cs="Century Gothic"/>
                <w:sz w:val="24"/>
                <w:szCs w:val="24"/>
              </w:rPr>
            </w:pPr>
            <w:r w:rsidRPr="00973D46">
              <w:rPr>
                <w:rFonts w:ascii="Century Gothic" w:eastAsia="Century Gothic" w:hAnsi="Century Gothic" w:cs="Century Gothic"/>
                <w:sz w:val="24"/>
                <w:szCs w:val="24"/>
              </w:rPr>
              <w:t>A través de este esfuerzo conjunto, se aspira a crear un entorno basado en dos objetivos concretos: el primero que aborda el establecimiento de programas de acceso a alimentos para grupos vulnerables, garantizando la equidad, y el segundo dirigido a aumentar la conciencia sobre la importancia de una dieta equilibrada y variada, donde cada individuo, independientemente de su origen o condición, pueda acceder a alimentos que nutran no solo su cuerpo, sino también su desarrollo intelectual y emocional. Este compromiso con la seguridad alimentaria y nutricional no solo fortalecerá la salud de la población de Popayán, sino que también sentará las bases para una comunidad más resiliente, sostenible y comprometida con el bienestar de las generaciones presentes y futuras, por lo tanto, se propone no solo preservar su legado cultural, sino también construir un futuro donde la seguridad alimentaria y nutricional sea un pilar fundamental de la identidad y prosperidad de la comunidad.</w:t>
            </w:r>
          </w:p>
          <w:p w14:paraId="30EC143B" w14:textId="77777777" w:rsidR="00973D46" w:rsidRDefault="00973D46" w:rsidP="006062A1">
            <w:pPr>
              <w:tabs>
                <w:tab w:val="left" w:pos="3435"/>
                <w:tab w:val="left" w:pos="3750"/>
                <w:tab w:val="left" w:pos="5580"/>
              </w:tabs>
              <w:jc w:val="both"/>
              <w:rPr>
                <w:rFonts w:ascii="Century Gothic" w:eastAsia="Century Gothic" w:hAnsi="Century Gothic" w:cs="Century Gothic"/>
                <w:sz w:val="24"/>
                <w:szCs w:val="24"/>
              </w:rPr>
            </w:pPr>
          </w:p>
          <w:p w14:paraId="48CBE235" w14:textId="7AB88E44" w:rsidR="00973D46" w:rsidRDefault="00973D46" w:rsidP="006062A1">
            <w:pPr>
              <w:tabs>
                <w:tab w:val="left" w:pos="3435"/>
                <w:tab w:val="left" w:pos="3750"/>
                <w:tab w:val="left" w:pos="5580"/>
              </w:tabs>
              <w:jc w:val="both"/>
              <w:rPr>
                <w:rFonts w:ascii="Century Gothic" w:eastAsia="Century Gothic" w:hAnsi="Century Gothic" w:cs="Century Gothic"/>
                <w:sz w:val="24"/>
                <w:szCs w:val="24"/>
              </w:rPr>
            </w:pPr>
            <w:r w:rsidRPr="00973D46">
              <w:rPr>
                <w:rFonts w:ascii="Century Gothic" w:eastAsia="Century Gothic" w:hAnsi="Century Gothic" w:cs="Century Gothic"/>
                <w:sz w:val="24"/>
                <w:szCs w:val="24"/>
              </w:rPr>
              <w:t xml:space="preserve">Para abordar estos desafíos, se requiere una estrategia integral que incluya medidas para fortalecer la producción agrícola sostenible a través de la incorporación de </w:t>
            </w:r>
            <w:r>
              <w:rPr>
                <w:rFonts w:ascii="Century Gothic" w:eastAsia="Century Gothic" w:hAnsi="Century Gothic" w:cs="Century Gothic"/>
                <w:sz w:val="24"/>
                <w:szCs w:val="24"/>
              </w:rPr>
              <w:t>tres</w:t>
            </w:r>
            <w:r w:rsidRPr="00973D46">
              <w:rPr>
                <w:rFonts w:ascii="Century Gothic" w:eastAsia="Century Gothic" w:hAnsi="Century Gothic" w:cs="Century Gothic"/>
                <w:sz w:val="24"/>
                <w:szCs w:val="24"/>
              </w:rPr>
              <w:t xml:space="preserve"> (</w:t>
            </w:r>
            <w:r>
              <w:rPr>
                <w:rFonts w:ascii="Century Gothic" w:eastAsia="Century Gothic" w:hAnsi="Century Gothic" w:cs="Century Gothic"/>
                <w:sz w:val="24"/>
                <w:szCs w:val="24"/>
              </w:rPr>
              <w:t>3</w:t>
            </w:r>
            <w:r w:rsidRPr="00973D46">
              <w:rPr>
                <w:rFonts w:ascii="Century Gothic" w:eastAsia="Century Gothic" w:hAnsi="Century Gothic" w:cs="Century Gothic"/>
                <w:sz w:val="24"/>
                <w:szCs w:val="24"/>
              </w:rPr>
              <w:t>) componentes estratégicos, que permitirán fomentar la educación nutricional, mejorar la distribución de alimentos, fortalecer la producción agrícola sostenible en el marco de la agricultura 4.0 y abordar las inequidades socioeconómicas que contribuyen a la inseguridad alimentaria</w:t>
            </w:r>
            <w:r>
              <w:rPr>
                <w:rFonts w:ascii="Century Gothic" w:eastAsia="Century Gothic" w:hAnsi="Century Gothic" w:cs="Century Gothic"/>
                <w:sz w:val="24"/>
                <w:szCs w:val="24"/>
              </w:rPr>
              <w:t>, descritos a continuación.</w:t>
            </w:r>
          </w:p>
          <w:p w14:paraId="590F77D6"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b/>
                <w:color w:val="000000"/>
                <w:sz w:val="24"/>
                <w:szCs w:val="24"/>
              </w:rPr>
            </w:pPr>
            <w:r w:rsidRPr="00973D46">
              <w:rPr>
                <w:rFonts w:ascii="Century Gothic" w:eastAsia="Arial" w:hAnsi="Century Gothic" w:cs="Arial"/>
                <w:b/>
                <w:sz w:val="24"/>
                <w:szCs w:val="24"/>
              </w:rPr>
              <w:lastRenderedPageBreak/>
              <w:t>COMPONENTE 1. CAPACITACIONES</w:t>
            </w:r>
          </w:p>
          <w:p w14:paraId="417529A7"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46CBCE80"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capacitación y acompañamiento técnico en la implementación de talleres con comunidad e instituciones educativas de la zona urbana y rural.</w:t>
            </w:r>
          </w:p>
          <w:p w14:paraId="73A33CD2"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Para la presente actividad se realizarán las siguientes acciones</w:t>
            </w:r>
          </w:p>
          <w:p w14:paraId="25CCD01D"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20 talleres para identificación y valoración de las semillas locales agrícolas, pecuarias, forestales y de plantas medicinales a través de la red de custodios de semillas con las familias beneficiarias del Proyecto de la zona rural de Popayán. El número de participantes se proyectan para 50 personas por taller</w:t>
            </w:r>
          </w:p>
          <w:p w14:paraId="3D58A321"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0C77047B"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25 Talleres de preparación y procesamiento de alimentos con familias beneficiarias del proyecto de la zona rural y urbana, con recetas propias y/o nuevas recetas tanto para el uso de las familias como para el manejo y alimentación de las especies menores. Se beneficiarán las familias de la zona rural del municipio de Popayán. El número de participantes se proyectan para 50 personas por taller</w:t>
            </w:r>
          </w:p>
          <w:p w14:paraId="4CF38DD8"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369562EC"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 xml:space="preserve">Realizar 30 capacitaciones en hábitos alimentarios y estilos de vida saludable fomentando tiendas saludables en las Instituciones Educativas y familias beneficiarias del proyecto con el fin de incentivar y valorar los procesamientos locales producidos por las familias de la zona rural del municipio de Popayán. </w:t>
            </w:r>
          </w:p>
          <w:p w14:paraId="1C00CE34"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65F36BE4"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la operación logística requerida en la ejecución de las actividades del programa de seguridad alimentaria y nutricional.</w:t>
            </w:r>
          </w:p>
          <w:p w14:paraId="467F0336"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6AEBB11A"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b/>
                <w:color w:val="000000"/>
                <w:sz w:val="24"/>
                <w:szCs w:val="24"/>
              </w:rPr>
            </w:pPr>
            <w:r w:rsidRPr="00973D46">
              <w:rPr>
                <w:rFonts w:ascii="Century Gothic" w:eastAsia="Arial" w:hAnsi="Century Gothic" w:cs="Arial"/>
                <w:b/>
                <w:color w:val="000000"/>
                <w:sz w:val="24"/>
                <w:szCs w:val="24"/>
              </w:rPr>
              <w:t>COMPONENTE 2. VISITAS TÉCNICAS Y/O DE CAMPO</w:t>
            </w:r>
          </w:p>
          <w:p w14:paraId="74E828B9"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visitas a los beneficiarios de la zona rural y urbana del municipio para seguimiento y evaluación nutricional a la población vulnerable mediante la toma de datos antropométricos.</w:t>
            </w:r>
          </w:p>
          <w:p w14:paraId="096F35E0"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0A727ED0"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 xml:space="preserve">Las actividades que se </w:t>
            </w:r>
            <w:r w:rsidRPr="00973D46">
              <w:rPr>
                <w:rFonts w:ascii="Century Gothic" w:eastAsia="Arial" w:hAnsi="Century Gothic" w:cs="Arial"/>
                <w:sz w:val="24"/>
                <w:szCs w:val="24"/>
              </w:rPr>
              <w:t>llevarán</w:t>
            </w:r>
            <w:r w:rsidRPr="00973D46">
              <w:rPr>
                <w:rFonts w:ascii="Century Gothic" w:eastAsia="Arial" w:hAnsi="Century Gothic" w:cs="Arial"/>
                <w:color w:val="000000"/>
                <w:sz w:val="24"/>
                <w:szCs w:val="24"/>
              </w:rPr>
              <w:t xml:space="preserve"> a cabo se describen a continuación.</w:t>
            </w:r>
          </w:p>
          <w:p w14:paraId="65779A06"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385CB551" w14:textId="77777777" w:rsidR="00973D46" w:rsidRPr="00973D46" w:rsidRDefault="00973D46" w:rsidP="00973D46">
            <w:pPr>
              <w:numPr>
                <w:ilvl w:val="0"/>
                <w:numId w:val="5"/>
              </w:num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Levantamiento de información de datos antropométricos de la población beneficiaria del proyecto, con el objetivo de identificar el estado nutricional (Talla, peso, perímetros corporales)</w:t>
            </w:r>
          </w:p>
          <w:p w14:paraId="57A4B5CC" w14:textId="77777777" w:rsidR="00973D46" w:rsidRPr="00973D46" w:rsidRDefault="00973D46" w:rsidP="00973D46">
            <w:pPr>
              <w:numPr>
                <w:ilvl w:val="0"/>
                <w:numId w:val="5"/>
              </w:num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 xml:space="preserve">Enrutar los casos de desnutrición detectados a las EPS para atención y seguimiento; Esto de acuerdo al análisis de los datos antropométricos realizados donde se encuentren alteraciones nutricionales con el fin de </w:t>
            </w:r>
            <w:r w:rsidRPr="00973D46">
              <w:rPr>
                <w:rFonts w:ascii="Century Gothic" w:eastAsia="Arial" w:hAnsi="Century Gothic" w:cs="Arial"/>
                <w:color w:val="000000"/>
                <w:sz w:val="24"/>
                <w:szCs w:val="24"/>
              </w:rPr>
              <w:lastRenderedPageBreak/>
              <w:t>informar a la Entidades Administradoras de Planes de Beneficios – EAPB, quienes son las responsables de activar la ruta de atención nutricional para los servicios de salud y mejorar esta condición de la población beneficiaria</w:t>
            </w:r>
          </w:p>
          <w:p w14:paraId="64DF36FD" w14:textId="77777777" w:rsidR="00973D46" w:rsidRPr="00973D46" w:rsidRDefault="00973D46" w:rsidP="00973D46">
            <w:pPr>
              <w:numPr>
                <w:ilvl w:val="0"/>
                <w:numId w:val="5"/>
              </w:numPr>
              <w:pBdr>
                <w:top w:val="nil"/>
                <w:left w:val="nil"/>
                <w:bottom w:val="nil"/>
                <w:right w:val="nil"/>
                <w:between w:val="nil"/>
              </w:pBdr>
              <w:spacing w:after="160"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la georreferenciación de las familias beneficiarias del proyecto, mediante la aplicación de sistemas de información geográfica, que se utilizan para mapear y analizar la variabilidad espacial en los campos. Esto ayuda a identificar patrones y tendencias, permitiendo a los agricultores ajustar sus prácticas según la heterogeneidad del terreno</w:t>
            </w:r>
          </w:p>
          <w:p w14:paraId="4E66AC04"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b/>
                <w:color w:val="000000"/>
                <w:sz w:val="24"/>
                <w:szCs w:val="24"/>
              </w:rPr>
            </w:pPr>
            <w:r w:rsidRPr="00973D46">
              <w:rPr>
                <w:rFonts w:ascii="Century Gothic" w:eastAsia="Arial" w:hAnsi="Century Gothic" w:cs="Arial"/>
                <w:b/>
                <w:color w:val="000000"/>
                <w:sz w:val="24"/>
                <w:szCs w:val="24"/>
              </w:rPr>
              <w:t>COMPONENTE 3. INCLUSIÓN DE AGRICULTURA 4.0 Y SISTEMATIZACIÓN DE LA INFORMACIÓN</w:t>
            </w:r>
          </w:p>
          <w:p w14:paraId="53E1EF84"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b/>
                <w:color w:val="000000"/>
                <w:sz w:val="24"/>
                <w:szCs w:val="24"/>
              </w:rPr>
            </w:pPr>
          </w:p>
          <w:p w14:paraId="1DAE8188"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Realizar la entrega de tecnologías de precisión en Agricultura 4.0 busca mejorar la eficiencia, reducir los costos, optimizar el uso de recursos y promover la sostenibilidad en el sector agrícola mediante la aplicación de enfoques más inteligentes y personalizados</w:t>
            </w:r>
          </w:p>
          <w:p w14:paraId="4AAC0B6F"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b/>
                <w:color w:val="000000"/>
                <w:sz w:val="24"/>
                <w:szCs w:val="24"/>
              </w:rPr>
            </w:pPr>
          </w:p>
          <w:p w14:paraId="453F70AC" w14:textId="77777777" w:rsidR="00973D46" w:rsidRPr="00973D46" w:rsidRDefault="00973D46" w:rsidP="00973D46">
            <w:pPr>
              <w:numPr>
                <w:ilvl w:val="0"/>
                <w:numId w:val="5"/>
              </w:num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Implementar el uso de tecnologías de precisión, la cual implica el uso de datos detallados para personalizar la gestión de los campos en función de las variabilidades locales. Esto incluye la aplicación de insumos agrícolas (como fertilizantes y pesticidas) de manera más precisa, de acuerdo con las necesidades específicas de cada área del campo, gestión de recurso hídrico que también se aplica para gestionar de manera eficiente el uso del agua en la agricultura, asegurando una irrigación adecuada y reduciendo el desperdicio</w:t>
            </w:r>
          </w:p>
          <w:p w14:paraId="2DD25E09" w14:textId="77777777" w:rsidR="00973D46" w:rsidRPr="00973D46" w:rsidRDefault="00973D46" w:rsidP="00973D46">
            <w:pPr>
              <w:numPr>
                <w:ilvl w:val="0"/>
                <w:numId w:val="5"/>
              </w:num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 xml:space="preserve">Desarrollo de programas para analítica de datos y BIG DATA, este permite recopilación masiva de datos en la agricultura moderna requiere análisis avanzados. El machine </w:t>
            </w:r>
            <w:proofErr w:type="spellStart"/>
            <w:r w:rsidRPr="00973D46">
              <w:rPr>
                <w:rFonts w:ascii="Century Gothic" w:eastAsia="Arial" w:hAnsi="Century Gothic" w:cs="Arial"/>
                <w:color w:val="000000"/>
                <w:sz w:val="24"/>
                <w:szCs w:val="24"/>
              </w:rPr>
              <w:t>learning</w:t>
            </w:r>
            <w:proofErr w:type="spellEnd"/>
            <w:r w:rsidRPr="00973D46">
              <w:rPr>
                <w:rFonts w:ascii="Century Gothic" w:eastAsia="Arial" w:hAnsi="Century Gothic" w:cs="Arial"/>
                <w:color w:val="000000"/>
                <w:sz w:val="24"/>
                <w:szCs w:val="24"/>
              </w:rPr>
              <w:t xml:space="preserve"> y otras técnicas de análisis de datos permiten a los agricultores extraer información valiosa de grandes conjuntos de datos, ayudando en la predicción de cosechas, la gestión de plagas y la optimización de la cadena de suministro y sinterización de la información</w:t>
            </w:r>
          </w:p>
          <w:p w14:paraId="7A6E5A28" w14:textId="77777777" w:rsidR="00973D46" w:rsidRPr="00973D46" w:rsidRDefault="00973D46" w:rsidP="00973D46">
            <w:pPr>
              <w:numPr>
                <w:ilvl w:val="0"/>
                <w:numId w:val="5"/>
              </w:numPr>
              <w:pBdr>
                <w:top w:val="nil"/>
                <w:left w:val="nil"/>
                <w:bottom w:val="nil"/>
                <w:right w:val="nil"/>
                <w:between w:val="nil"/>
              </w:pBdr>
              <w:spacing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Implementación y desarrollo para la automatización de cultivos, que ofrecen herramientas para optimizar los procesos de cultivo, controlando variables clave como el riego, la fertilización y el manejo de plagas, a través del análisis de datos en tiempo real y la provisión de recomendaciones precisas</w:t>
            </w:r>
          </w:p>
          <w:p w14:paraId="76859708" w14:textId="77777777" w:rsidR="00973D46" w:rsidRPr="00973D46" w:rsidRDefault="00973D46" w:rsidP="00973D46">
            <w:pPr>
              <w:numPr>
                <w:ilvl w:val="0"/>
                <w:numId w:val="5"/>
              </w:numPr>
              <w:pBdr>
                <w:top w:val="nil"/>
                <w:left w:val="nil"/>
                <w:bottom w:val="nil"/>
                <w:right w:val="nil"/>
                <w:between w:val="nil"/>
              </w:pBdr>
              <w:spacing w:after="160" w:line="276"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 xml:space="preserve">Implementación del internet de las cosas (IOT). Basado en la adquisición de datos a partir de sensores, drones, y dispositivos de </w:t>
            </w:r>
            <w:proofErr w:type="spellStart"/>
            <w:r w:rsidRPr="00973D46">
              <w:rPr>
                <w:rFonts w:ascii="Century Gothic" w:eastAsia="Arial" w:hAnsi="Century Gothic" w:cs="Arial"/>
                <w:color w:val="000000"/>
                <w:sz w:val="24"/>
                <w:szCs w:val="24"/>
              </w:rPr>
              <w:t>sensoramiento</w:t>
            </w:r>
            <w:proofErr w:type="spellEnd"/>
            <w:r w:rsidRPr="00973D46">
              <w:rPr>
                <w:rFonts w:ascii="Century Gothic" w:eastAsia="Arial" w:hAnsi="Century Gothic" w:cs="Arial"/>
                <w:color w:val="000000"/>
                <w:sz w:val="24"/>
                <w:szCs w:val="24"/>
              </w:rPr>
              <w:t xml:space="preserve">, para </w:t>
            </w:r>
            <w:r w:rsidRPr="00973D46">
              <w:rPr>
                <w:rFonts w:ascii="Century Gothic" w:eastAsia="Arial" w:hAnsi="Century Gothic" w:cs="Arial"/>
                <w:color w:val="000000"/>
                <w:sz w:val="24"/>
                <w:szCs w:val="24"/>
              </w:rPr>
              <w:lastRenderedPageBreak/>
              <w:t>la integración de dispositivos y sensores en una red, facilitando la comunicación y el intercambio de datos entre diferentes componentes del sistema agrícola. Esto mejora la toma de decisiones en tiempo real</w:t>
            </w:r>
          </w:p>
          <w:p w14:paraId="60333C0F"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b/>
                <w:color w:val="000000"/>
                <w:sz w:val="24"/>
                <w:szCs w:val="24"/>
              </w:rPr>
            </w:pPr>
            <w:r w:rsidRPr="00973D46">
              <w:rPr>
                <w:rFonts w:ascii="Century Gothic" w:eastAsia="Arial" w:hAnsi="Century Gothic" w:cs="Arial"/>
                <w:b/>
                <w:color w:val="000000"/>
                <w:sz w:val="24"/>
                <w:szCs w:val="24"/>
              </w:rPr>
              <w:t>COMPONENTE 3. HUERTAS CASERAS.</w:t>
            </w:r>
          </w:p>
          <w:p w14:paraId="2893F9AC" w14:textId="77777777" w:rsidR="00973D46" w:rsidRPr="00973D46" w:rsidRDefault="00973D46" w:rsidP="00973D46">
            <w:pPr>
              <w:pBdr>
                <w:top w:val="nil"/>
                <w:left w:val="nil"/>
                <w:bottom w:val="nil"/>
                <w:right w:val="nil"/>
                <w:between w:val="nil"/>
              </w:pBdr>
              <w:spacing w:line="276" w:lineRule="auto"/>
              <w:jc w:val="both"/>
              <w:rPr>
                <w:rFonts w:ascii="Century Gothic" w:eastAsia="Arial" w:hAnsi="Century Gothic" w:cs="Arial"/>
                <w:color w:val="000000"/>
                <w:sz w:val="24"/>
                <w:szCs w:val="24"/>
              </w:rPr>
            </w:pPr>
          </w:p>
          <w:p w14:paraId="4FDDF661" w14:textId="77777777" w:rsidR="00973D46" w:rsidRPr="00973D46" w:rsidRDefault="00973D46" w:rsidP="00973D46">
            <w:pPr>
              <w:jc w:val="both"/>
              <w:rPr>
                <w:rFonts w:ascii="Century Gothic" w:eastAsia="Arial" w:hAnsi="Century Gothic" w:cs="Arial"/>
                <w:sz w:val="24"/>
                <w:szCs w:val="24"/>
              </w:rPr>
            </w:pPr>
            <w:r w:rsidRPr="00973D46">
              <w:rPr>
                <w:rFonts w:ascii="Century Gothic" w:eastAsia="Arial" w:hAnsi="Century Gothic" w:cs="Arial"/>
                <w:sz w:val="24"/>
                <w:szCs w:val="24"/>
              </w:rPr>
              <w:t>Se realizará el proceso de adquisición de insumos agropecuarios y de ferretería en un kit compuesto por insumos agropecuarios, de ferretería, gallinas y material vegetal, los cuales se entregarán en los sitios que el proyecto defina, para la instalación y/o fortalecimiento de las huertas caseras, estos insumos serán distribuidos de la siguiente manera:</w:t>
            </w:r>
          </w:p>
          <w:p w14:paraId="1141B83D" w14:textId="77777777" w:rsidR="00973D46" w:rsidRPr="00973D46" w:rsidRDefault="00973D46" w:rsidP="00973D46">
            <w:pPr>
              <w:jc w:val="both"/>
              <w:rPr>
                <w:rFonts w:ascii="Century Gothic" w:eastAsia="Arial" w:hAnsi="Century Gothic" w:cs="Arial"/>
                <w:sz w:val="24"/>
                <w:szCs w:val="24"/>
              </w:rPr>
            </w:pPr>
          </w:p>
          <w:p w14:paraId="2145BD33" w14:textId="77777777" w:rsidR="00973D46" w:rsidRPr="00973D46" w:rsidRDefault="00973D46" w:rsidP="00973D46">
            <w:pPr>
              <w:numPr>
                <w:ilvl w:val="0"/>
                <w:numId w:val="6"/>
              </w:numPr>
              <w:pBdr>
                <w:top w:val="nil"/>
                <w:left w:val="nil"/>
                <w:bottom w:val="nil"/>
                <w:right w:val="nil"/>
                <w:between w:val="nil"/>
              </w:pBdr>
              <w:spacing w:line="259" w:lineRule="auto"/>
              <w:jc w:val="both"/>
              <w:rPr>
                <w:rFonts w:ascii="Century Gothic" w:eastAsia="Cambria" w:hAnsi="Century Gothic" w:cs="Cambria"/>
                <w:color w:val="000000"/>
                <w:sz w:val="24"/>
                <w:szCs w:val="24"/>
              </w:rPr>
            </w:pPr>
            <w:r w:rsidRPr="00973D46">
              <w:rPr>
                <w:rFonts w:ascii="Century Gothic" w:eastAsia="Arial" w:hAnsi="Century Gothic" w:cs="Arial"/>
                <w:color w:val="000000"/>
                <w:sz w:val="24"/>
                <w:szCs w:val="24"/>
              </w:rPr>
              <w:t>Entrega de insumos de ferretería (guadua) y el material vegetal (Naranjos, aguacates, semilla de yuca, arracacha, plátano y papa cidra) a 350 familias beneficiarias para completar el kit presupuestado. Así mismo se hará la entrega de los kits completos (insumos agropecuarios, de ferretería y material vegetal) las familias vinculadas al proyecto. El kit también contempla un pie de cría de 20 gallinas ponedoras en etapa de levante con su respectiva base alimenticia (concentrado de levante y pre postura).</w:t>
            </w:r>
          </w:p>
          <w:p w14:paraId="0B781A7B" w14:textId="77777777" w:rsidR="00973D46" w:rsidRPr="00973D46" w:rsidRDefault="00973D46" w:rsidP="00973D46">
            <w:pPr>
              <w:numPr>
                <w:ilvl w:val="0"/>
                <w:numId w:val="6"/>
              </w:numPr>
              <w:pBdr>
                <w:top w:val="nil"/>
                <w:left w:val="nil"/>
                <w:bottom w:val="nil"/>
                <w:right w:val="nil"/>
                <w:between w:val="nil"/>
              </w:pBdr>
              <w:spacing w:line="259" w:lineRule="auto"/>
              <w:jc w:val="both"/>
              <w:rPr>
                <w:rFonts w:ascii="Century Gothic" w:eastAsia="Arial" w:hAnsi="Century Gothic" w:cs="Arial"/>
                <w:color w:val="000000"/>
                <w:sz w:val="24"/>
                <w:szCs w:val="24"/>
              </w:rPr>
            </w:pPr>
            <w:r w:rsidRPr="00973D46">
              <w:rPr>
                <w:rFonts w:ascii="Century Gothic" w:eastAsia="Arial" w:hAnsi="Century Gothic" w:cs="Arial"/>
                <w:color w:val="000000"/>
                <w:sz w:val="24"/>
                <w:szCs w:val="24"/>
              </w:rPr>
              <w:t xml:space="preserve">Los insumos y herramientas requeridas pueden variar según la identificación de las necesidades y características propias de la población priorizada durante la implementación de la estrategia. El número se determina con base en las 350 familias beneficiarias. Si las familias poseen terreno para siembra de brindarán insumos agrícolas, si el beneficiario desea el cultivo de gallina, se brindarán conforme a su capacidad de sostenimiento y área del terreno </w:t>
            </w:r>
            <w:proofErr w:type="gramStart"/>
            <w:r w:rsidRPr="00973D46">
              <w:rPr>
                <w:rFonts w:ascii="Century Gothic" w:eastAsia="Arial" w:hAnsi="Century Gothic" w:cs="Arial"/>
                <w:color w:val="000000"/>
                <w:sz w:val="24"/>
                <w:szCs w:val="24"/>
              </w:rPr>
              <w:t>y</w:t>
            </w:r>
            <w:proofErr w:type="gramEnd"/>
            <w:r w:rsidRPr="00973D46">
              <w:rPr>
                <w:rFonts w:ascii="Century Gothic" w:eastAsia="Arial" w:hAnsi="Century Gothic" w:cs="Arial"/>
                <w:color w:val="000000"/>
                <w:sz w:val="24"/>
                <w:szCs w:val="24"/>
              </w:rPr>
              <w:t xml:space="preserve"> además, con base en su interés.</w:t>
            </w:r>
          </w:p>
          <w:p w14:paraId="5BEDADC9" w14:textId="77777777" w:rsidR="00973D46" w:rsidRPr="00973D46" w:rsidRDefault="00973D46" w:rsidP="00973D46">
            <w:pPr>
              <w:pBdr>
                <w:top w:val="nil"/>
                <w:left w:val="nil"/>
                <w:bottom w:val="nil"/>
                <w:right w:val="nil"/>
                <w:between w:val="nil"/>
              </w:pBdr>
              <w:spacing w:line="259" w:lineRule="auto"/>
              <w:ind w:left="720"/>
              <w:jc w:val="both"/>
              <w:rPr>
                <w:rFonts w:ascii="Century Gothic" w:eastAsia="Arial" w:hAnsi="Century Gothic" w:cs="Arial"/>
                <w:color w:val="000000"/>
                <w:sz w:val="24"/>
                <w:szCs w:val="24"/>
              </w:rPr>
            </w:pPr>
          </w:p>
          <w:p w14:paraId="356DA1DA" w14:textId="199CA911" w:rsidR="00973D46" w:rsidRPr="00973D46" w:rsidRDefault="00973D46" w:rsidP="00973D46">
            <w:pPr>
              <w:tabs>
                <w:tab w:val="left" w:pos="3435"/>
                <w:tab w:val="left" w:pos="3750"/>
                <w:tab w:val="left" w:pos="5580"/>
              </w:tabs>
              <w:jc w:val="both"/>
              <w:rPr>
                <w:rFonts w:ascii="Century Gothic" w:eastAsia="Century Gothic" w:hAnsi="Century Gothic" w:cs="Century Gothic"/>
                <w:sz w:val="24"/>
                <w:szCs w:val="24"/>
              </w:rPr>
            </w:pPr>
            <w:r w:rsidRPr="00973D46">
              <w:rPr>
                <w:rFonts w:ascii="Century Gothic" w:eastAsia="Arial" w:hAnsi="Century Gothic" w:cs="Arial"/>
                <w:color w:val="000000"/>
                <w:sz w:val="24"/>
                <w:szCs w:val="24"/>
              </w:rPr>
              <w:t>Se realizará proceso contractual con profesionales en ciencias agropecuarias, ciencias ambientales o ciencias afines con la agricultura. para implementación y fortalecimiento de huertas urbanas y rurales en entornos familiares, escolares y comunitarios que promocionen la salud alimentaria y nutricional a través de capacitaciones y entrega de insumos y herramientas de ferretería y semillas que incentiven el autoconsumo de alimentos orgánicos en la población vulnerable del municipio de Popayán, quienes realizarán las siguientes actividades</w:t>
            </w:r>
          </w:p>
          <w:p w14:paraId="715A9834" w14:textId="77777777" w:rsidR="006062A1" w:rsidRPr="006062A1" w:rsidRDefault="006062A1" w:rsidP="006062A1">
            <w:pPr>
              <w:tabs>
                <w:tab w:val="left" w:pos="3435"/>
                <w:tab w:val="left" w:pos="3750"/>
                <w:tab w:val="left" w:pos="5580"/>
              </w:tabs>
              <w:jc w:val="both"/>
              <w:rPr>
                <w:rFonts w:ascii="Century Gothic" w:eastAsia="Century Gothic" w:hAnsi="Century Gothic" w:cs="Century Gothic"/>
                <w:b/>
                <w:sz w:val="24"/>
                <w:szCs w:val="24"/>
              </w:rPr>
            </w:pPr>
          </w:p>
        </w:tc>
      </w:tr>
      <w:tr w:rsidR="006062A1" w:rsidRPr="006062A1" w14:paraId="45AFBAEA" w14:textId="77777777">
        <w:tc>
          <w:tcPr>
            <w:tcW w:w="9639" w:type="dxa"/>
            <w:gridSpan w:val="4"/>
            <w:shd w:val="clear" w:color="auto" w:fill="BFBFBF"/>
          </w:tcPr>
          <w:p w14:paraId="4FD1FBA5" w14:textId="77777777" w:rsidR="006062A1" w:rsidRPr="006062A1" w:rsidRDefault="006062A1" w:rsidP="006062A1">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lastRenderedPageBreak/>
              <w:t>COSTO DEL PROYECTO</w:t>
            </w:r>
          </w:p>
        </w:tc>
      </w:tr>
      <w:tr w:rsidR="006062A1" w:rsidRPr="006062A1" w14:paraId="6FD48332" w14:textId="77777777">
        <w:tc>
          <w:tcPr>
            <w:tcW w:w="9639" w:type="dxa"/>
            <w:gridSpan w:val="4"/>
            <w:shd w:val="clear" w:color="auto" w:fill="FFFFFF"/>
          </w:tcPr>
          <w:tbl>
            <w:tblPr>
              <w:tblW w:w="9378" w:type="dxa"/>
              <w:tblLayout w:type="fixed"/>
              <w:tblCellMar>
                <w:left w:w="70" w:type="dxa"/>
                <w:right w:w="70" w:type="dxa"/>
              </w:tblCellMar>
              <w:tblLook w:val="04A0" w:firstRow="1" w:lastRow="0" w:firstColumn="1" w:lastColumn="0" w:noHBand="0" w:noVBand="1"/>
            </w:tblPr>
            <w:tblGrid>
              <w:gridCol w:w="1723"/>
              <w:gridCol w:w="2694"/>
              <w:gridCol w:w="850"/>
              <w:gridCol w:w="1134"/>
              <w:gridCol w:w="1418"/>
              <w:gridCol w:w="1559"/>
            </w:tblGrid>
            <w:tr w:rsidR="00973D46" w:rsidRPr="00973D46" w14:paraId="50351C50" w14:textId="77777777" w:rsidTr="00973D46">
              <w:trPr>
                <w:trHeight w:val="346"/>
              </w:trPr>
              <w:tc>
                <w:tcPr>
                  <w:tcW w:w="9378" w:type="dxa"/>
                  <w:gridSpan w:val="6"/>
                  <w:tcBorders>
                    <w:top w:val="single" w:sz="4" w:space="0" w:color="000000"/>
                    <w:left w:val="single" w:sz="4" w:space="0" w:color="000000"/>
                    <w:bottom w:val="single" w:sz="4" w:space="0" w:color="000000"/>
                    <w:right w:val="nil"/>
                  </w:tcBorders>
                  <w:shd w:val="clear" w:color="auto" w:fill="auto"/>
                  <w:noWrap/>
                  <w:vAlign w:val="bottom"/>
                  <w:hideMark/>
                </w:tcPr>
                <w:p w14:paraId="6744A9DB"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PRESUPUESTO SEGURIDAD ALIMENTARIAC2:I22</w:t>
                  </w:r>
                </w:p>
              </w:tc>
            </w:tr>
            <w:tr w:rsidR="00973D46" w:rsidRPr="00973D46" w14:paraId="7616668B" w14:textId="77777777" w:rsidTr="00973D46">
              <w:trPr>
                <w:trHeight w:val="602"/>
              </w:trPr>
              <w:tc>
                <w:tcPr>
                  <w:tcW w:w="1723" w:type="dxa"/>
                  <w:tcBorders>
                    <w:top w:val="nil"/>
                    <w:left w:val="single" w:sz="4" w:space="0" w:color="000000"/>
                    <w:bottom w:val="single" w:sz="4" w:space="0" w:color="000000"/>
                    <w:right w:val="single" w:sz="4" w:space="0" w:color="000000"/>
                  </w:tcBorders>
                  <w:shd w:val="clear" w:color="auto" w:fill="auto"/>
                  <w:vAlign w:val="bottom"/>
                  <w:hideMark/>
                </w:tcPr>
                <w:p w14:paraId="208BF62A"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OBJETIVOS ESPECÍFICOS</w:t>
                  </w:r>
                </w:p>
              </w:tc>
              <w:tc>
                <w:tcPr>
                  <w:tcW w:w="2694" w:type="dxa"/>
                  <w:tcBorders>
                    <w:top w:val="nil"/>
                    <w:left w:val="nil"/>
                    <w:bottom w:val="single" w:sz="4" w:space="0" w:color="000000"/>
                    <w:right w:val="single" w:sz="4" w:space="0" w:color="000000"/>
                  </w:tcBorders>
                  <w:shd w:val="clear" w:color="auto" w:fill="auto"/>
                  <w:noWrap/>
                  <w:vAlign w:val="bottom"/>
                  <w:hideMark/>
                </w:tcPr>
                <w:p w14:paraId="346F7F94"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ACTIVIDAD</w:t>
                  </w:r>
                </w:p>
              </w:tc>
              <w:tc>
                <w:tcPr>
                  <w:tcW w:w="850" w:type="dxa"/>
                  <w:tcBorders>
                    <w:top w:val="nil"/>
                    <w:left w:val="nil"/>
                    <w:bottom w:val="single" w:sz="4" w:space="0" w:color="000000"/>
                    <w:right w:val="single" w:sz="4" w:space="0" w:color="000000"/>
                  </w:tcBorders>
                  <w:shd w:val="clear" w:color="auto" w:fill="auto"/>
                  <w:noWrap/>
                  <w:vAlign w:val="bottom"/>
                  <w:hideMark/>
                </w:tcPr>
                <w:p w14:paraId="347E0DD5"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CANT</w:t>
                  </w:r>
                </w:p>
              </w:tc>
              <w:tc>
                <w:tcPr>
                  <w:tcW w:w="1134" w:type="dxa"/>
                  <w:tcBorders>
                    <w:top w:val="nil"/>
                    <w:left w:val="nil"/>
                    <w:bottom w:val="single" w:sz="4" w:space="0" w:color="000000"/>
                    <w:right w:val="single" w:sz="4" w:space="0" w:color="000000"/>
                  </w:tcBorders>
                  <w:shd w:val="clear" w:color="auto" w:fill="auto"/>
                  <w:noWrap/>
                  <w:vAlign w:val="bottom"/>
                  <w:hideMark/>
                </w:tcPr>
                <w:p w14:paraId="62E57FA4"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U. MEDIDA</w:t>
                  </w:r>
                </w:p>
              </w:tc>
              <w:tc>
                <w:tcPr>
                  <w:tcW w:w="1418" w:type="dxa"/>
                  <w:tcBorders>
                    <w:top w:val="nil"/>
                    <w:left w:val="nil"/>
                    <w:bottom w:val="single" w:sz="4" w:space="0" w:color="000000"/>
                    <w:right w:val="single" w:sz="4" w:space="0" w:color="000000"/>
                  </w:tcBorders>
                  <w:shd w:val="clear" w:color="auto" w:fill="auto"/>
                  <w:noWrap/>
                  <w:vAlign w:val="bottom"/>
                  <w:hideMark/>
                </w:tcPr>
                <w:p w14:paraId="195E9990"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VR. UNITARIO</w:t>
                  </w:r>
                </w:p>
              </w:tc>
              <w:tc>
                <w:tcPr>
                  <w:tcW w:w="1559" w:type="dxa"/>
                  <w:tcBorders>
                    <w:top w:val="nil"/>
                    <w:left w:val="nil"/>
                    <w:bottom w:val="single" w:sz="4" w:space="0" w:color="000000"/>
                    <w:right w:val="single" w:sz="4" w:space="0" w:color="000000"/>
                  </w:tcBorders>
                  <w:shd w:val="clear" w:color="auto" w:fill="auto"/>
                  <w:noWrap/>
                  <w:vAlign w:val="bottom"/>
                  <w:hideMark/>
                </w:tcPr>
                <w:p w14:paraId="5D35DAC4"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VR. TOTAL</w:t>
                  </w:r>
                </w:p>
              </w:tc>
            </w:tr>
            <w:tr w:rsidR="00973D46" w:rsidRPr="00973D46" w14:paraId="366F58BC" w14:textId="77777777" w:rsidTr="00973D46">
              <w:trPr>
                <w:trHeight w:val="467"/>
              </w:trPr>
              <w:tc>
                <w:tcPr>
                  <w:tcW w:w="172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68DE6D"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Fortalecer los conocimientos a través de la promoción de </w:t>
                  </w:r>
                  <w:r w:rsidRPr="00973D46">
                    <w:rPr>
                      <w:rFonts w:ascii="Century Gothic" w:eastAsia="Times New Roman" w:hAnsi="Century Gothic" w:cs="Arial"/>
                      <w:color w:val="000000"/>
                    </w:rPr>
                    <w:lastRenderedPageBreak/>
                    <w:t xml:space="preserve">la salud alimentaria y nutricional de la población del municipio de Popayán.  </w:t>
                  </w:r>
                </w:p>
              </w:tc>
              <w:tc>
                <w:tcPr>
                  <w:tcW w:w="269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629E638"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lastRenderedPageBreak/>
                    <w:t xml:space="preserve">Realizar capacitación y acompañamiento técnico en la implementación de </w:t>
                  </w:r>
                  <w:r w:rsidRPr="00973D46">
                    <w:rPr>
                      <w:rFonts w:ascii="Century Gothic" w:eastAsia="Times New Roman" w:hAnsi="Century Gothic" w:cs="Arial"/>
                      <w:color w:val="000000"/>
                    </w:rPr>
                    <w:lastRenderedPageBreak/>
                    <w:t>talleres con comunidad de la zona urbana y rural.</w:t>
                  </w:r>
                </w:p>
              </w:tc>
              <w:tc>
                <w:tcPr>
                  <w:tcW w:w="850" w:type="dxa"/>
                  <w:tcBorders>
                    <w:top w:val="nil"/>
                    <w:left w:val="nil"/>
                    <w:bottom w:val="single" w:sz="4" w:space="0" w:color="000000"/>
                    <w:right w:val="single" w:sz="4" w:space="0" w:color="000000"/>
                  </w:tcBorders>
                  <w:shd w:val="clear" w:color="auto" w:fill="auto"/>
                  <w:noWrap/>
                  <w:vAlign w:val="center"/>
                  <w:hideMark/>
                </w:tcPr>
                <w:p w14:paraId="2071DE65"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lastRenderedPageBreak/>
                    <w:t>12</w:t>
                  </w:r>
                </w:p>
              </w:tc>
              <w:tc>
                <w:tcPr>
                  <w:tcW w:w="1134" w:type="dxa"/>
                  <w:tcBorders>
                    <w:top w:val="nil"/>
                    <w:left w:val="nil"/>
                    <w:bottom w:val="single" w:sz="4" w:space="0" w:color="000000"/>
                    <w:right w:val="single" w:sz="4" w:space="0" w:color="000000"/>
                  </w:tcBorders>
                  <w:shd w:val="clear" w:color="auto" w:fill="auto"/>
                  <w:noWrap/>
                  <w:vAlign w:val="center"/>
                  <w:hideMark/>
                </w:tcPr>
                <w:p w14:paraId="4B6D7952"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Meses</w:t>
                  </w:r>
                </w:p>
              </w:tc>
              <w:tc>
                <w:tcPr>
                  <w:tcW w:w="1418" w:type="dxa"/>
                  <w:tcBorders>
                    <w:top w:val="nil"/>
                    <w:left w:val="nil"/>
                    <w:bottom w:val="single" w:sz="4" w:space="0" w:color="000000"/>
                    <w:right w:val="single" w:sz="4" w:space="0" w:color="000000"/>
                  </w:tcBorders>
                  <w:shd w:val="clear" w:color="auto" w:fill="auto"/>
                  <w:noWrap/>
                  <w:vAlign w:val="center"/>
                  <w:hideMark/>
                </w:tcPr>
                <w:p w14:paraId="41D41435"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6500000</w:t>
                  </w:r>
                </w:p>
              </w:tc>
              <w:tc>
                <w:tcPr>
                  <w:tcW w:w="1559" w:type="dxa"/>
                  <w:tcBorders>
                    <w:top w:val="nil"/>
                    <w:left w:val="nil"/>
                    <w:bottom w:val="single" w:sz="4" w:space="0" w:color="000000"/>
                    <w:right w:val="single" w:sz="4" w:space="0" w:color="000000"/>
                  </w:tcBorders>
                  <w:shd w:val="clear" w:color="auto" w:fill="auto"/>
                  <w:noWrap/>
                  <w:vAlign w:val="center"/>
                  <w:hideMark/>
                </w:tcPr>
                <w:p w14:paraId="001811CB"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78.000.000 </w:t>
                  </w:r>
                </w:p>
              </w:tc>
            </w:tr>
            <w:tr w:rsidR="00973D46" w:rsidRPr="00973D46" w14:paraId="5A76DC82" w14:textId="77777777" w:rsidTr="00973D46">
              <w:trPr>
                <w:trHeight w:val="497"/>
              </w:trPr>
              <w:tc>
                <w:tcPr>
                  <w:tcW w:w="1723" w:type="dxa"/>
                  <w:vMerge/>
                  <w:tcBorders>
                    <w:top w:val="nil"/>
                    <w:left w:val="single" w:sz="4" w:space="0" w:color="000000"/>
                    <w:bottom w:val="single" w:sz="4" w:space="0" w:color="000000"/>
                    <w:right w:val="single" w:sz="4" w:space="0" w:color="000000"/>
                  </w:tcBorders>
                  <w:vAlign w:val="center"/>
                  <w:hideMark/>
                </w:tcPr>
                <w:p w14:paraId="68AC02C8"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29F39C02"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01B4BB0B"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20</w:t>
                  </w:r>
                </w:p>
              </w:tc>
              <w:tc>
                <w:tcPr>
                  <w:tcW w:w="1134" w:type="dxa"/>
                  <w:tcBorders>
                    <w:top w:val="nil"/>
                    <w:left w:val="nil"/>
                    <w:bottom w:val="single" w:sz="4" w:space="0" w:color="000000"/>
                    <w:right w:val="single" w:sz="4" w:space="0" w:color="000000"/>
                  </w:tcBorders>
                  <w:shd w:val="clear" w:color="auto" w:fill="auto"/>
                  <w:noWrap/>
                  <w:vAlign w:val="center"/>
                  <w:hideMark/>
                </w:tcPr>
                <w:p w14:paraId="0D783EF6"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59140C0E"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800.000 </w:t>
                  </w:r>
                </w:p>
              </w:tc>
              <w:tc>
                <w:tcPr>
                  <w:tcW w:w="1559" w:type="dxa"/>
                  <w:tcBorders>
                    <w:top w:val="nil"/>
                    <w:left w:val="nil"/>
                    <w:bottom w:val="single" w:sz="4" w:space="0" w:color="000000"/>
                    <w:right w:val="single" w:sz="4" w:space="0" w:color="000000"/>
                  </w:tcBorders>
                  <w:shd w:val="clear" w:color="auto" w:fill="auto"/>
                  <w:noWrap/>
                  <w:vAlign w:val="center"/>
                  <w:hideMark/>
                </w:tcPr>
                <w:p w14:paraId="711F57C4"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16.000.000 </w:t>
                  </w:r>
                </w:p>
              </w:tc>
            </w:tr>
            <w:tr w:rsidR="00973D46" w:rsidRPr="00973D46" w14:paraId="5B8A4B9E" w14:textId="77777777" w:rsidTr="00973D46">
              <w:trPr>
                <w:trHeight w:val="452"/>
              </w:trPr>
              <w:tc>
                <w:tcPr>
                  <w:tcW w:w="1723" w:type="dxa"/>
                  <w:vMerge/>
                  <w:tcBorders>
                    <w:top w:val="nil"/>
                    <w:left w:val="single" w:sz="4" w:space="0" w:color="000000"/>
                    <w:bottom w:val="single" w:sz="4" w:space="0" w:color="000000"/>
                    <w:right w:val="single" w:sz="4" w:space="0" w:color="000000"/>
                  </w:tcBorders>
                  <w:vAlign w:val="center"/>
                  <w:hideMark/>
                </w:tcPr>
                <w:p w14:paraId="1CF64D0E"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2FF6E628"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2DE85EBB"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25</w:t>
                  </w:r>
                </w:p>
              </w:tc>
              <w:tc>
                <w:tcPr>
                  <w:tcW w:w="1134" w:type="dxa"/>
                  <w:tcBorders>
                    <w:top w:val="nil"/>
                    <w:left w:val="nil"/>
                    <w:bottom w:val="single" w:sz="4" w:space="0" w:color="000000"/>
                    <w:right w:val="single" w:sz="4" w:space="0" w:color="000000"/>
                  </w:tcBorders>
                  <w:shd w:val="clear" w:color="auto" w:fill="auto"/>
                  <w:noWrap/>
                  <w:vAlign w:val="center"/>
                  <w:hideMark/>
                </w:tcPr>
                <w:p w14:paraId="4686E960"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40B3DF9E"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800.000 </w:t>
                  </w:r>
                </w:p>
              </w:tc>
              <w:tc>
                <w:tcPr>
                  <w:tcW w:w="1559" w:type="dxa"/>
                  <w:tcBorders>
                    <w:top w:val="nil"/>
                    <w:left w:val="nil"/>
                    <w:bottom w:val="single" w:sz="4" w:space="0" w:color="000000"/>
                    <w:right w:val="single" w:sz="4" w:space="0" w:color="000000"/>
                  </w:tcBorders>
                  <w:shd w:val="clear" w:color="auto" w:fill="auto"/>
                  <w:noWrap/>
                  <w:vAlign w:val="center"/>
                  <w:hideMark/>
                </w:tcPr>
                <w:p w14:paraId="4F967EC6"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20.000.000 </w:t>
                  </w:r>
                </w:p>
              </w:tc>
            </w:tr>
            <w:tr w:rsidR="00973D46" w:rsidRPr="00973D46" w14:paraId="630AD5B8" w14:textId="77777777" w:rsidTr="00973D46">
              <w:trPr>
                <w:trHeight w:val="452"/>
              </w:trPr>
              <w:tc>
                <w:tcPr>
                  <w:tcW w:w="1723" w:type="dxa"/>
                  <w:vMerge/>
                  <w:tcBorders>
                    <w:top w:val="nil"/>
                    <w:left w:val="single" w:sz="4" w:space="0" w:color="000000"/>
                    <w:bottom w:val="single" w:sz="4" w:space="0" w:color="000000"/>
                    <w:right w:val="single" w:sz="4" w:space="0" w:color="000000"/>
                  </w:tcBorders>
                  <w:vAlign w:val="center"/>
                  <w:hideMark/>
                </w:tcPr>
                <w:p w14:paraId="6383D67F"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53C8A7C4"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53D8FE0B"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30</w:t>
                  </w:r>
                </w:p>
              </w:tc>
              <w:tc>
                <w:tcPr>
                  <w:tcW w:w="1134" w:type="dxa"/>
                  <w:tcBorders>
                    <w:top w:val="nil"/>
                    <w:left w:val="nil"/>
                    <w:bottom w:val="single" w:sz="4" w:space="0" w:color="000000"/>
                    <w:right w:val="single" w:sz="4" w:space="0" w:color="000000"/>
                  </w:tcBorders>
                  <w:shd w:val="clear" w:color="auto" w:fill="auto"/>
                  <w:noWrap/>
                  <w:vAlign w:val="center"/>
                  <w:hideMark/>
                </w:tcPr>
                <w:p w14:paraId="4696BECB"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20224093"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800.000 </w:t>
                  </w:r>
                </w:p>
              </w:tc>
              <w:tc>
                <w:tcPr>
                  <w:tcW w:w="1559" w:type="dxa"/>
                  <w:tcBorders>
                    <w:top w:val="nil"/>
                    <w:left w:val="nil"/>
                    <w:bottom w:val="single" w:sz="4" w:space="0" w:color="000000"/>
                    <w:right w:val="single" w:sz="4" w:space="0" w:color="000000"/>
                  </w:tcBorders>
                  <w:shd w:val="clear" w:color="auto" w:fill="auto"/>
                  <w:noWrap/>
                  <w:vAlign w:val="center"/>
                  <w:hideMark/>
                </w:tcPr>
                <w:p w14:paraId="5D13FE2C"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24.000.000 </w:t>
                  </w:r>
                </w:p>
              </w:tc>
            </w:tr>
            <w:tr w:rsidR="00973D46" w:rsidRPr="00973D46" w14:paraId="7A79E308" w14:textId="77777777" w:rsidTr="00973D46">
              <w:trPr>
                <w:trHeight w:val="1718"/>
              </w:trPr>
              <w:tc>
                <w:tcPr>
                  <w:tcW w:w="1723" w:type="dxa"/>
                  <w:vMerge/>
                  <w:tcBorders>
                    <w:top w:val="nil"/>
                    <w:left w:val="single" w:sz="4" w:space="0" w:color="000000"/>
                    <w:bottom w:val="single" w:sz="4" w:space="0" w:color="000000"/>
                    <w:right w:val="single" w:sz="4" w:space="0" w:color="000000"/>
                  </w:tcBorders>
                  <w:vAlign w:val="center"/>
                  <w:hideMark/>
                </w:tcPr>
                <w:p w14:paraId="31B5D7B9"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tcBorders>
                    <w:top w:val="nil"/>
                    <w:left w:val="nil"/>
                    <w:bottom w:val="single" w:sz="4" w:space="0" w:color="000000"/>
                    <w:right w:val="single" w:sz="4" w:space="0" w:color="000000"/>
                  </w:tcBorders>
                  <w:shd w:val="clear" w:color="auto" w:fill="auto"/>
                  <w:vAlign w:val="center"/>
                  <w:hideMark/>
                </w:tcPr>
                <w:p w14:paraId="2821B2EB"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Realizar la operación logística requerida en la ejecución de las actividades del programa de seguridad alimentaria y nutricional</w:t>
                  </w:r>
                </w:p>
              </w:tc>
              <w:tc>
                <w:tcPr>
                  <w:tcW w:w="850" w:type="dxa"/>
                  <w:tcBorders>
                    <w:top w:val="nil"/>
                    <w:left w:val="nil"/>
                    <w:bottom w:val="single" w:sz="4" w:space="0" w:color="000000"/>
                    <w:right w:val="single" w:sz="4" w:space="0" w:color="000000"/>
                  </w:tcBorders>
                  <w:shd w:val="clear" w:color="auto" w:fill="auto"/>
                  <w:noWrap/>
                  <w:vAlign w:val="center"/>
                  <w:hideMark/>
                </w:tcPr>
                <w:p w14:paraId="2FD9ABA0"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350</w:t>
                  </w:r>
                </w:p>
              </w:tc>
              <w:tc>
                <w:tcPr>
                  <w:tcW w:w="1134" w:type="dxa"/>
                  <w:tcBorders>
                    <w:top w:val="nil"/>
                    <w:left w:val="nil"/>
                    <w:bottom w:val="single" w:sz="4" w:space="0" w:color="000000"/>
                    <w:right w:val="single" w:sz="4" w:space="0" w:color="000000"/>
                  </w:tcBorders>
                  <w:shd w:val="clear" w:color="auto" w:fill="auto"/>
                  <w:noWrap/>
                  <w:vAlign w:val="center"/>
                  <w:hideMark/>
                </w:tcPr>
                <w:p w14:paraId="4C99F330" w14:textId="7769DD9A"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49135F04"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15.000 </w:t>
                  </w:r>
                </w:p>
              </w:tc>
              <w:tc>
                <w:tcPr>
                  <w:tcW w:w="1559" w:type="dxa"/>
                  <w:tcBorders>
                    <w:top w:val="nil"/>
                    <w:left w:val="nil"/>
                    <w:bottom w:val="single" w:sz="4" w:space="0" w:color="000000"/>
                    <w:right w:val="single" w:sz="4" w:space="0" w:color="000000"/>
                  </w:tcBorders>
                  <w:shd w:val="clear" w:color="auto" w:fill="auto"/>
                  <w:noWrap/>
                  <w:vAlign w:val="center"/>
                  <w:hideMark/>
                </w:tcPr>
                <w:p w14:paraId="0730E97C"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5.250.000 </w:t>
                  </w:r>
                </w:p>
              </w:tc>
            </w:tr>
            <w:tr w:rsidR="00973D46" w:rsidRPr="00973D46" w14:paraId="4376F7FA" w14:textId="77777777" w:rsidTr="00973D46">
              <w:trPr>
                <w:trHeight w:val="1145"/>
              </w:trPr>
              <w:tc>
                <w:tcPr>
                  <w:tcW w:w="172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1079175"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Mejorar la cobertura en el desarrollo de actividades que promuevan el derecho humano a la </w:t>
                  </w:r>
                  <w:proofErr w:type="spellStart"/>
                  <w:r w:rsidRPr="00973D46">
                    <w:rPr>
                      <w:rFonts w:ascii="Century Gothic" w:eastAsia="Times New Roman" w:hAnsi="Century Gothic" w:cs="Arial"/>
                      <w:color w:val="000000"/>
                    </w:rPr>
                    <w:t>alimentació</w:t>
                  </w:r>
                  <w:proofErr w:type="spellEnd"/>
                </w:p>
              </w:tc>
              <w:tc>
                <w:tcPr>
                  <w:tcW w:w="269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64108C"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Realizar visitas técnicas a los beneficiarios de la zona rural y urbana del municipio para seguimiento y evaluación nutricional a la población vulnerable mediante la toma de datos antropométricos</w:t>
                  </w:r>
                </w:p>
              </w:tc>
              <w:tc>
                <w:tcPr>
                  <w:tcW w:w="850" w:type="dxa"/>
                  <w:tcBorders>
                    <w:top w:val="nil"/>
                    <w:left w:val="nil"/>
                    <w:bottom w:val="single" w:sz="4" w:space="0" w:color="000000"/>
                    <w:right w:val="single" w:sz="4" w:space="0" w:color="000000"/>
                  </w:tcBorders>
                  <w:shd w:val="clear" w:color="auto" w:fill="auto"/>
                  <w:noWrap/>
                  <w:vAlign w:val="center"/>
                  <w:hideMark/>
                </w:tcPr>
                <w:p w14:paraId="3BDB7292"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1</w:t>
                  </w:r>
                </w:p>
              </w:tc>
              <w:tc>
                <w:tcPr>
                  <w:tcW w:w="1134" w:type="dxa"/>
                  <w:tcBorders>
                    <w:top w:val="nil"/>
                    <w:left w:val="nil"/>
                    <w:bottom w:val="single" w:sz="4" w:space="0" w:color="000000"/>
                    <w:right w:val="single" w:sz="4" w:space="0" w:color="000000"/>
                  </w:tcBorders>
                  <w:shd w:val="clear" w:color="auto" w:fill="auto"/>
                  <w:noWrap/>
                  <w:vAlign w:val="center"/>
                  <w:hideMark/>
                </w:tcPr>
                <w:p w14:paraId="6CC72F37"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306B4B90"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300.000.000 </w:t>
                  </w:r>
                </w:p>
              </w:tc>
              <w:tc>
                <w:tcPr>
                  <w:tcW w:w="1559" w:type="dxa"/>
                  <w:tcBorders>
                    <w:top w:val="nil"/>
                    <w:left w:val="nil"/>
                    <w:bottom w:val="single" w:sz="4" w:space="0" w:color="000000"/>
                    <w:right w:val="single" w:sz="4" w:space="0" w:color="000000"/>
                  </w:tcBorders>
                  <w:shd w:val="clear" w:color="auto" w:fill="auto"/>
                  <w:noWrap/>
                  <w:vAlign w:val="center"/>
                  <w:hideMark/>
                </w:tcPr>
                <w:p w14:paraId="1F3EB373"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300.000.000 </w:t>
                  </w:r>
                </w:p>
              </w:tc>
            </w:tr>
            <w:tr w:rsidR="00973D46" w:rsidRPr="00973D46" w14:paraId="6098F8F8" w14:textId="77777777" w:rsidTr="00973D46">
              <w:trPr>
                <w:trHeight w:val="1552"/>
              </w:trPr>
              <w:tc>
                <w:tcPr>
                  <w:tcW w:w="1723" w:type="dxa"/>
                  <w:vMerge/>
                  <w:tcBorders>
                    <w:top w:val="nil"/>
                    <w:left w:val="single" w:sz="4" w:space="0" w:color="000000"/>
                    <w:bottom w:val="single" w:sz="4" w:space="0" w:color="000000"/>
                    <w:right w:val="single" w:sz="4" w:space="0" w:color="000000"/>
                  </w:tcBorders>
                  <w:vAlign w:val="center"/>
                  <w:hideMark/>
                </w:tcPr>
                <w:p w14:paraId="46140A50"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09DC6666"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67510788"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58</w:t>
                  </w:r>
                </w:p>
              </w:tc>
              <w:tc>
                <w:tcPr>
                  <w:tcW w:w="1134" w:type="dxa"/>
                  <w:tcBorders>
                    <w:top w:val="nil"/>
                    <w:left w:val="nil"/>
                    <w:bottom w:val="single" w:sz="4" w:space="0" w:color="000000"/>
                    <w:right w:val="single" w:sz="4" w:space="0" w:color="000000"/>
                  </w:tcBorders>
                  <w:shd w:val="clear" w:color="auto" w:fill="auto"/>
                  <w:noWrap/>
                  <w:vAlign w:val="center"/>
                  <w:hideMark/>
                </w:tcPr>
                <w:p w14:paraId="2A9ADA4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11B3AE08"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2.700.000 </w:t>
                  </w:r>
                </w:p>
              </w:tc>
              <w:tc>
                <w:tcPr>
                  <w:tcW w:w="1559" w:type="dxa"/>
                  <w:tcBorders>
                    <w:top w:val="nil"/>
                    <w:left w:val="nil"/>
                    <w:bottom w:val="single" w:sz="4" w:space="0" w:color="000000"/>
                    <w:right w:val="single" w:sz="4" w:space="0" w:color="000000"/>
                  </w:tcBorders>
                  <w:shd w:val="clear" w:color="auto" w:fill="auto"/>
                  <w:noWrap/>
                  <w:vAlign w:val="center"/>
                  <w:hideMark/>
                </w:tcPr>
                <w:p w14:paraId="35282826"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156.600.000 </w:t>
                  </w:r>
                </w:p>
              </w:tc>
            </w:tr>
            <w:tr w:rsidR="00973D46" w:rsidRPr="00973D46" w14:paraId="61423C51" w14:textId="77777777" w:rsidTr="00973D46">
              <w:trPr>
                <w:trHeight w:val="1160"/>
              </w:trPr>
              <w:tc>
                <w:tcPr>
                  <w:tcW w:w="172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79420A7"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Fortalecer los hábitos y estilos de vida saludables en nutrición y seguridad alimentaria</w:t>
                  </w:r>
                </w:p>
              </w:tc>
              <w:tc>
                <w:tcPr>
                  <w:tcW w:w="269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8B58959"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Realizar la entrega de tecnologías de precisión en Agricultura 4.0 busca mejorar la eficiencia, reducir los costos, optimizar el uso de recursos y promover la sostenibilidad en el sector agrícola mediante la aplicación de enfoques más inteligentes y personalizados</w:t>
                  </w:r>
                </w:p>
              </w:tc>
              <w:tc>
                <w:tcPr>
                  <w:tcW w:w="850" w:type="dxa"/>
                  <w:tcBorders>
                    <w:top w:val="nil"/>
                    <w:left w:val="nil"/>
                    <w:bottom w:val="single" w:sz="4" w:space="0" w:color="000000"/>
                    <w:right w:val="single" w:sz="4" w:space="0" w:color="000000"/>
                  </w:tcBorders>
                  <w:shd w:val="clear" w:color="auto" w:fill="auto"/>
                  <w:noWrap/>
                  <w:vAlign w:val="center"/>
                  <w:hideMark/>
                </w:tcPr>
                <w:p w14:paraId="2762FDA4"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1</w:t>
                  </w:r>
                </w:p>
              </w:tc>
              <w:tc>
                <w:tcPr>
                  <w:tcW w:w="1134" w:type="dxa"/>
                  <w:tcBorders>
                    <w:top w:val="nil"/>
                    <w:left w:val="nil"/>
                    <w:bottom w:val="single" w:sz="4" w:space="0" w:color="000000"/>
                    <w:right w:val="single" w:sz="4" w:space="0" w:color="000000"/>
                  </w:tcBorders>
                  <w:shd w:val="clear" w:color="auto" w:fill="auto"/>
                  <w:noWrap/>
                  <w:vAlign w:val="center"/>
                  <w:hideMark/>
                </w:tcPr>
                <w:p w14:paraId="1BA93C0C"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center"/>
                  <w:hideMark/>
                </w:tcPr>
                <w:p w14:paraId="4671461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80.000.000 </w:t>
                  </w:r>
                </w:p>
              </w:tc>
              <w:tc>
                <w:tcPr>
                  <w:tcW w:w="1559" w:type="dxa"/>
                  <w:tcBorders>
                    <w:top w:val="nil"/>
                    <w:left w:val="nil"/>
                    <w:bottom w:val="single" w:sz="4" w:space="0" w:color="000000"/>
                    <w:right w:val="single" w:sz="4" w:space="0" w:color="000000"/>
                  </w:tcBorders>
                  <w:shd w:val="clear" w:color="auto" w:fill="auto"/>
                  <w:noWrap/>
                  <w:vAlign w:val="center"/>
                  <w:hideMark/>
                </w:tcPr>
                <w:p w14:paraId="0299CC60"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80.000.000 </w:t>
                  </w:r>
                </w:p>
              </w:tc>
            </w:tr>
            <w:tr w:rsidR="00973D46" w:rsidRPr="00973D46" w14:paraId="2AAF27D7" w14:textId="77777777" w:rsidTr="00973D46">
              <w:trPr>
                <w:trHeight w:val="587"/>
              </w:trPr>
              <w:tc>
                <w:tcPr>
                  <w:tcW w:w="1723" w:type="dxa"/>
                  <w:vMerge/>
                  <w:tcBorders>
                    <w:top w:val="nil"/>
                    <w:left w:val="single" w:sz="4" w:space="0" w:color="000000"/>
                    <w:bottom w:val="single" w:sz="4" w:space="0" w:color="000000"/>
                    <w:right w:val="single" w:sz="4" w:space="0" w:color="000000"/>
                  </w:tcBorders>
                  <w:vAlign w:val="center"/>
                  <w:hideMark/>
                </w:tcPr>
                <w:p w14:paraId="4510C72B"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2FB5A200"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bottom"/>
                  <w:hideMark/>
                </w:tcPr>
                <w:p w14:paraId="6614AA9F"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6</w:t>
                  </w:r>
                </w:p>
              </w:tc>
              <w:tc>
                <w:tcPr>
                  <w:tcW w:w="1134" w:type="dxa"/>
                  <w:tcBorders>
                    <w:top w:val="nil"/>
                    <w:left w:val="nil"/>
                    <w:bottom w:val="single" w:sz="4" w:space="0" w:color="000000"/>
                    <w:right w:val="single" w:sz="4" w:space="0" w:color="000000"/>
                  </w:tcBorders>
                  <w:shd w:val="clear" w:color="auto" w:fill="auto"/>
                  <w:noWrap/>
                  <w:vAlign w:val="center"/>
                  <w:hideMark/>
                </w:tcPr>
                <w:p w14:paraId="41E280AF" w14:textId="77777777" w:rsidR="00973D46" w:rsidRPr="00973D46" w:rsidRDefault="00973D46" w:rsidP="00973D46">
                  <w:pPr>
                    <w:spacing w:after="0" w:line="240" w:lineRule="auto"/>
                    <w:jc w:val="center"/>
                    <w:rPr>
                      <w:rFonts w:ascii="Century Gothic" w:eastAsia="Times New Roman" w:hAnsi="Century Gothic" w:cs="Arial"/>
                      <w:color w:val="000000"/>
                    </w:rPr>
                  </w:pPr>
                  <w:proofErr w:type="spellStart"/>
                  <w:r w:rsidRPr="00973D46">
                    <w:rPr>
                      <w:rFonts w:ascii="Century Gothic" w:eastAsia="Times New Roman" w:hAnsi="Century Gothic" w:cs="Arial"/>
                      <w:color w:val="000000"/>
                    </w:rPr>
                    <w:t>Hectarea</w:t>
                  </w:r>
                  <w:proofErr w:type="spellEnd"/>
                </w:p>
              </w:tc>
              <w:tc>
                <w:tcPr>
                  <w:tcW w:w="1418" w:type="dxa"/>
                  <w:tcBorders>
                    <w:top w:val="nil"/>
                    <w:left w:val="nil"/>
                    <w:bottom w:val="single" w:sz="4" w:space="0" w:color="000000"/>
                    <w:right w:val="single" w:sz="4" w:space="0" w:color="000000"/>
                  </w:tcBorders>
                  <w:shd w:val="clear" w:color="auto" w:fill="auto"/>
                  <w:noWrap/>
                  <w:vAlign w:val="bottom"/>
                  <w:hideMark/>
                </w:tcPr>
                <w:p w14:paraId="296F9B22"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450.000 </w:t>
                  </w:r>
                </w:p>
              </w:tc>
              <w:tc>
                <w:tcPr>
                  <w:tcW w:w="1559" w:type="dxa"/>
                  <w:tcBorders>
                    <w:top w:val="nil"/>
                    <w:left w:val="nil"/>
                    <w:bottom w:val="single" w:sz="4" w:space="0" w:color="000000"/>
                    <w:right w:val="single" w:sz="4" w:space="0" w:color="000000"/>
                  </w:tcBorders>
                  <w:shd w:val="clear" w:color="auto" w:fill="auto"/>
                  <w:noWrap/>
                  <w:vAlign w:val="bottom"/>
                  <w:hideMark/>
                </w:tcPr>
                <w:p w14:paraId="399F2DDC"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2.700.000 </w:t>
                  </w:r>
                </w:p>
              </w:tc>
            </w:tr>
            <w:tr w:rsidR="00973D46" w:rsidRPr="00973D46" w14:paraId="15A06446" w14:textId="77777777" w:rsidTr="00973D46">
              <w:trPr>
                <w:trHeight w:val="527"/>
              </w:trPr>
              <w:tc>
                <w:tcPr>
                  <w:tcW w:w="1723" w:type="dxa"/>
                  <w:vMerge/>
                  <w:tcBorders>
                    <w:top w:val="nil"/>
                    <w:left w:val="single" w:sz="4" w:space="0" w:color="000000"/>
                    <w:bottom w:val="single" w:sz="4" w:space="0" w:color="000000"/>
                    <w:right w:val="single" w:sz="4" w:space="0" w:color="000000"/>
                  </w:tcBorders>
                  <w:vAlign w:val="center"/>
                  <w:hideMark/>
                </w:tcPr>
                <w:p w14:paraId="1C98318F"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15B1F53F"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bottom"/>
                  <w:hideMark/>
                </w:tcPr>
                <w:p w14:paraId="671A3180"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350</w:t>
                  </w:r>
                </w:p>
              </w:tc>
              <w:tc>
                <w:tcPr>
                  <w:tcW w:w="1134" w:type="dxa"/>
                  <w:tcBorders>
                    <w:top w:val="nil"/>
                    <w:left w:val="nil"/>
                    <w:bottom w:val="single" w:sz="4" w:space="0" w:color="000000"/>
                    <w:right w:val="single" w:sz="4" w:space="0" w:color="000000"/>
                  </w:tcBorders>
                  <w:shd w:val="clear" w:color="auto" w:fill="auto"/>
                  <w:noWrap/>
                  <w:vAlign w:val="center"/>
                  <w:hideMark/>
                </w:tcPr>
                <w:p w14:paraId="72E9DD8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10E38E2F"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1.500.000 </w:t>
                  </w:r>
                </w:p>
              </w:tc>
              <w:tc>
                <w:tcPr>
                  <w:tcW w:w="1559" w:type="dxa"/>
                  <w:tcBorders>
                    <w:top w:val="nil"/>
                    <w:left w:val="nil"/>
                    <w:bottom w:val="single" w:sz="4" w:space="0" w:color="000000"/>
                    <w:right w:val="single" w:sz="4" w:space="0" w:color="000000"/>
                  </w:tcBorders>
                  <w:shd w:val="clear" w:color="auto" w:fill="auto"/>
                  <w:noWrap/>
                  <w:vAlign w:val="bottom"/>
                  <w:hideMark/>
                </w:tcPr>
                <w:p w14:paraId="04D25F58"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525.000.000 </w:t>
                  </w:r>
                </w:p>
              </w:tc>
            </w:tr>
            <w:tr w:rsidR="00973D46" w:rsidRPr="00973D46" w14:paraId="767BFFC4" w14:textId="77777777" w:rsidTr="00973D46">
              <w:trPr>
                <w:trHeight w:val="527"/>
              </w:trPr>
              <w:tc>
                <w:tcPr>
                  <w:tcW w:w="1723" w:type="dxa"/>
                  <w:vMerge/>
                  <w:tcBorders>
                    <w:top w:val="nil"/>
                    <w:left w:val="single" w:sz="4" w:space="0" w:color="000000"/>
                    <w:bottom w:val="single" w:sz="4" w:space="0" w:color="000000"/>
                    <w:right w:val="single" w:sz="4" w:space="0" w:color="000000"/>
                  </w:tcBorders>
                  <w:vAlign w:val="center"/>
                  <w:hideMark/>
                </w:tcPr>
                <w:p w14:paraId="453398D6"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677B278D"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bottom"/>
                  <w:hideMark/>
                </w:tcPr>
                <w:p w14:paraId="7AA935F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1</w:t>
                  </w:r>
                </w:p>
              </w:tc>
              <w:tc>
                <w:tcPr>
                  <w:tcW w:w="1134" w:type="dxa"/>
                  <w:tcBorders>
                    <w:top w:val="nil"/>
                    <w:left w:val="nil"/>
                    <w:bottom w:val="single" w:sz="4" w:space="0" w:color="000000"/>
                    <w:right w:val="single" w:sz="4" w:space="0" w:color="000000"/>
                  </w:tcBorders>
                  <w:shd w:val="clear" w:color="auto" w:fill="auto"/>
                  <w:noWrap/>
                  <w:vAlign w:val="center"/>
                  <w:hideMark/>
                </w:tcPr>
                <w:p w14:paraId="48876A1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0DFCF069"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220.000.000 </w:t>
                  </w:r>
                </w:p>
              </w:tc>
              <w:tc>
                <w:tcPr>
                  <w:tcW w:w="1559" w:type="dxa"/>
                  <w:tcBorders>
                    <w:top w:val="nil"/>
                    <w:left w:val="nil"/>
                    <w:bottom w:val="single" w:sz="4" w:space="0" w:color="000000"/>
                    <w:right w:val="single" w:sz="4" w:space="0" w:color="000000"/>
                  </w:tcBorders>
                  <w:shd w:val="clear" w:color="auto" w:fill="auto"/>
                  <w:noWrap/>
                  <w:vAlign w:val="bottom"/>
                  <w:hideMark/>
                </w:tcPr>
                <w:p w14:paraId="3B9FA4A4"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220.000.000 </w:t>
                  </w:r>
                </w:p>
              </w:tc>
            </w:tr>
            <w:tr w:rsidR="00973D46" w:rsidRPr="00973D46" w14:paraId="29F9DDC4" w14:textId="77777777" w:rsidTr="00973D46">
              <w:trPr>
                <w:trHeight w:val="648"/>
              </w:trPr>
              <w:tc>
                <w:tcPr>
                  <w:tcW w:w="1723" w:type="dxa"/>
                  <w:vMerge/>
                  <w:tcBorders>
                    <w:top w:val="nil"/>
                    <w:left w:val="single" w:sz="4" w:space="0" w:color="000000"/>
                    <w:bottom w:val="single" w:sz="4" w:space="0" w:color="000000"/>
                    <w:right w:val="single" w:sz="4" w:space="0" w:color="000000"/>
                  </w:tcBorders>
                  <w:vAlign w:val="center"/>
                  <w:hideMark/>
                </w:tcPr>
                <w:p w14:paraId="0E0FFA64"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16058F4B"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bottom"/>
                  <w:hideMark/>
                </w:tcPr>
                <w:p w14:paraId="6E56F63A"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1</w:t>
                  </w:r>
                </w:p>
              </w:tc>
              <w:tc>
                <w:tcPr>
                  <w:tcW w:w="1134" w:type="dxa"/>
                  <w:tcBorders>
                    <w:top w:val="nil"/>
                    <w:left w:val="nil"/>
                    <w:bottom w:val="single" w:sz="4" w:space="0" w:color="000000"/>
                    <w:right w:val="single" w:sz="4" w:space="0" w:color="000000"/>
                  </w:tcBorders>
                  <w:shd w:val="clear" w:color="auto" w:fill="auto"/>
                  <w:noWrap/>
                  <w:vAlign w:val="center"/>
                  <w:hideMark/>
                </w:tcPr>
                <w:p w14:paraId="193101F0"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Anual</w:t>
                  </w:r>
                </w:p>
              </w:tc>
              <w:tc>
                <w:tcPr>
                  <w:tcW w:w="1418" w:type="dxa"/>
                  <w:tcBorders>
                    <w:top w:val="nil"/>
                    <w:left w:val="nil"/>
                    <w:bottom w:val="single" w:sz="4" w:space="0" w:color="000000"/>
                    <w:right w:val="single" w:sz="4" w:space="0" w:color="000000"/>
                  </w:tcBorders>
                  <w:shd w:val="clear" w:color="auto" w:fill="auto"/>
                  <w:noWrap/>
                  <w:vAlign w:val="bottom"/>
                  <w:hideMark/>
                </w:tcPr>
                <w:p w14:paraId="08241933"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90.000.000 </w:t>
                  </w:r>
                </w:p>
              </w:tc>
              <w:tc>
                <w:tcPr>
                  <w:tcW w:w="1559" w:type="dxa"/>
                  <w:tcBorders>
                    <w:top w:val="nil"/>
                    <w:left w:val="nil"/>
                    <w:bottom w:val="single" w:sz="4" w:space="0" w:color="000000"/>
                    <w:right w:val="single" w:sz="4" w:space="0" w:color="000000"/>
                  </w:tcBorders>
                  <w:shd w:val="clear" w:color="auto" w:fill="auto"/>
                  <w:noWrap/>
                  <w:vAlign w:val="bottom"/>
                  <w:hideMark/>
                </w:tcPr>
                <w:p w14:paraId="6BE7782A"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90.000.000 </w:t>
                  </w:r>
                </w:p>
              </w:tc>
            </w:tr>
            <w:tr w:rsidR="00973D46" w:rsidRPr="00973D46" w14:paraId="495058D2" w14:textId="77777777" w:rsidTr="00973D46">
              <w:trPr>
                <w:trHeight w:val="587"/>
              </w:trPr>
              <w:tc>
                <w:tcPr>
                  <w:tcW w:w="1723" w:type="dxa"/>
                  <w:vMerge/>
                  <w:tcBorders>
                    <w:top w:val="nil"/>
                    <w:left w:val="single" w:sz="4" w:space="0" w:color="000000"/>
                    <w:bottom w:val="single" w:sz="4" w:space="0" w:color="000000"/>
                    <w:right w:val="single" w:sz="4" w:space="0" w:color="000000"/>
                  </w:tcBorders>
                  <w:vAlign w:val="center"/>
                  <w:hideMark/>
                </w:tcPr>
                <w:p w14:paraId="71BD8171"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0E1BB2B5"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bottom"/>
                  <w:hideMark/>
                </w:tcPr>
                <w:p w14:paraId="57A37789"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350</w:t>
                  </w:r>
                </w:p>
              </w:tc>
              <w:tc>
                <w:tcPr>
                  <w:tcW w:w="1134" w:type="dxa"/>
                  <w:tcBorders>
                    <w:top w:val="nil"/>
                    <w:left w:val="nil"/>
                    <w:bottom w:val="single" w:sz="4" w:space="0" w:color="000000"/>
                    <w:right w:val="single" w:sz="4" w:space="0" w:color="000000"/>
                  </w:tcBorders>
                  <w:shd w:val="clear" w:color="auto" w:fill="auto"/>
                  <w:noWrap/>
                  <w:vAlign w:val="center"/>
                  <w:hideMark/>
                </w:tcPr>
                <w:p w14:paraId="352D9BEF"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31C3FF82"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5.000.000 </w:t>
                  </w:r>
                </w:p>
              </w:tc>
              <w:tc>
                <w:tcPr>
                  <w:tcW w:w="1559" w:type="dxa"/>
                  <w:tcBorders>
                    <w:top w:val="nil"/>
                    <w:left w:val="nil"/>
                    <w:bottom w:val="single" w:sz="4" w:space="0" w:color="000000"/>
                    <w:right w:val="single" w:sz="4" w:space="0" w:color="000000"/>
                  </w:tcBorders>
                  <w:shd w:val="clear" w:color="auto" w:fill="auto"/>
                  <w:noWrap/>
                  <w:vAlign w:val="bottom"/>
                  <w:hideMark/>
                </w:tcPr>
                <w:p w14:paraId="472DF658"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1.750.000.000 </w:t>
                  </w:r>
                </w:p>
              </w:tc>
            </w:tr>
            <w:tr w:rsidR="00973D46" w:rsidRPr="00973D46" w14:paraId="17D83982" w14:textId="77777777" w:rsidTr="00973D46">
              <w:trPr>
                <w:trHeight w:val="467"/>
              </w:trPr>
              <w:tc>
                <w:tcPr>
                  <w:tcW w:w="1723" w:type="dxa"/>
                  <w:vMerge/>
                  <w:tcBorders>
                    <w:top w:val="nil"/>
                    <w:left w:val="single" w:sz="4" w:space="0" w:color="000000"/>
                    <w:bottom w:val="single" w:sz="4" w:space="0" w:color="000000"/>
                    <w:right w:val="single" w:sz="4" w:space="0" w:color="000000"/>
                  </w:tcBorders>
                  <w:vAlign w:val="center"/>
                  <w:hideMark/>
                </w:tcPr>
                <w:p w14:paraId="2A6C5BBD"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A082745"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Realizar el proceso de adquisición de insumos agropecuarios y de ferretería en un kit compuesto por insumos agropecuarios, de ferretería, pie de </w:t>
                  </w:r>
                  <w:proofErr w:type="spellStart"/>
                  <w:r w:rsidRPr="00973D46">
                    <w:rPr>
                      <w:rFonts w:ascii="Century Gothic" w:eastAsia="Times New Roman" w:hAnsi="Century Gothic" w:cs="Arial"/>
                      <w:color w:val="000000"/>
                    </w:rPr>
                    <w:t>cria</w:t>
                  </w:r>
                  <w:proofErr w:type="spellEnd"/>
                  <w:r w:rsidRPr="00973D46">
                    <w:rPr>
                      <w:rFonts w:ascii="Century Gothic" w:eastAsia="Times New Roman" w:hAnsi="Century Gothic" w:cs="Arial"/>
                      <w:color w:val="000000"/>
                    </w:rPr>
                    <w:t xml:space="preserve"> y material vegetal</w:t>
                  </w:r>
                </w:p>
              </w:tc>
              <w:tc>
                <w:tcPr>
                  <w:tcW w:w="850" w:type="dxa"/>
                  <w:tcBorders>
                    <w:top w:val="nil"/>
                    <w:left w:val="nil"/>
                    <w:bottom w:val="single" w:sz="4" w:space="0" w:color="000000"/>
                    <w:right w:val="single" w:sz="4" w:space="0" w:color="000000"/>
                  </w:tcBorders>
                  <w:shd w:val="clear" w:color="auto" w:fill="auto"/>
                  <w:noWrap/>
                  <w:vAlign w:val="center"/>
                  <w:hideMark/>
                </w:tcPr>
                <w:p w14:paraId="45D75217"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350</w:t>
                  </w:r>
                </w:p>
              </w:tc>
              <w:tc>
                <w:tcPr>
                  <w:tcW w:w="1134" w:type="dxa"/>
                  <w:tcBorders>
                    <w:top w:val="nil"/>
                    <w:left w:val="nil"/>
                    <w:bottom w:val="single" w:sz="4" w:space="0" w:color="000000"/>
                    <w:right w:val="single" w:sz="4" w:space="0" w:color="000000"/>
                  </w:tcBorders>
                  <w:shd w:val="clear" w:color="auto" w:fill="auto"/>
                  <w:noWrap/>
                  <w:vAlign w:val="center"/>
                  <w:hideMark/>
                </w:tcPr>
                <w:p w14:paraId="707515E4"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56D5CE5A"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500.000 </w:t>
                  </w:r>
                </w:p>
              </w:tc>
              <w:tc>
                <w:tcPr>
                  <w:tcW w:w="1559" w:type="dxa"/>
                  <w:tcBorders>
                    <w:top w:val="nil"/>
                    <w:left w:val="nil"/>
                    <w:bottom w:val="single" w:sz="4" w:space="0" w:color="000000"/>
                    <w:right w:val="single" w:sz="4" w:space="0" w:color="000000"/>
                  </w:tcBorders>
                  <w:shd w:val="clear" w:color="auto" w:fill="auto"/>
                  <w:noWrap/>
                  <w:vAlign w:val="bottom"/>
                  <w:hideMark/>
                </w:tcPr>
                <w:p w14:paraId="635A3CB8"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175.000.000 </w:t>
                  </w:r>
                </w:p>
              </w:tc>
            </w:tr>
            <w:tr w:rsidR="00973D46" w:rsidRPr="00973D46" w14:paraId="205742EB" w14:textId="77777777" w:rsidTr="00973D46">
              <w:trPr>
                <w:trHeight w:val="452"/>
              </w:trPr>
              <w:tc>
                <w:tcPr>
                  <w:tcW w:w="1723" w:type="dxa"/>
                  <w:vMerge/>
                  <w:tcBorders>
                    <w:top w:val="nil"/>
                    <w:left w:val="single" w:sz="4" w:space="0" w:color="000000"/>
                    <w:bottom w:val="single" w:sz="4" w:space="0" w:color="000000"/>
                    <w:right w:val="single" w:sz="4" w:space="0" w:color="000000"/>
                  </w:tcBorders>
                  <w:vAlign w:val="center"/>
                  <w:hideMark/>
                </w:tcPr>
                <w:p w14:paraId="5D2301D2"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2309CE13"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4A338140"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350</w:t>
                  </w:r>
                </w:p>
              </w:tc>
              <w:tc>
                <w:tcPr>
                  <w:tcW w:w="1134" w:type="dxa"/>
                  <w:tcBorders>
                    <w:top w:val="nil"/>
                    <w:left w:val="nil"/>
                    <w:bottom w:val="single" w:sz="4" w:space="0" w:color="000000"/>
                    <w:right w:val="single" w:sz="4" w:space="0" w:color="000000"/>
                  </w:tcBorders>
                  <w:shd w:val="clear" w:color="auto" w:fill="auto"/>
                  <w:noWrap/>
                  <w:vAlign w:val="center"/>
                  <w:hideMark/>
                </w:tcPr>
                <w:p w14:paraId="34F23FA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4C7FD2FD"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600.000 </w:t>
                  </w:r>
                </w:p>
              </w:tc>
              <w:tc>
                <w:tcPr>
                  <w:tcW w:w="1559" w:type="dxa"/>
                  <w:tcBorders>
                    <w:top w:val="nil"/>
                    <w:left w:val="nil"/>
                    <w:bottom w:val="single" w:sz="4" w:space="0" w:color="000000"/>
                    <w:right w:val="single" w:sz="4" w:space="0" w:color="000000"/>
                  </w:tcBorders>
                  <w:shd w:val="clear" w:color="auto" w:fill="auto"/>
                  <w:noWrap/>
                  <w:vAlign w:val="bottom"/>
                  <w:hideMark/>
                </w:tcPr>
                <w:p w14:paraId="5ECE0308"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210.000.000 </w:t>
                  </w:r>
                </w:p>
              </w:tc>
            </w:tr>
            <w:tr w:rsidR="00973D46" w:rsidRPr="00973D46" w14:paraId="55170D15" w14:textId="77777777" w:rsidTr="00973D46">
              <w:trPr>
                <w:trHeight w:val="482"/>
              </w:trPr>
              <w:tc>
                <w:tcPr>
                  <w:tcW w:w="1723" w:type="dxa"/>
                  <w:vMerge/>
                  <w:tcBorders>
                    <w:top w:val="nil"/>
                    <w:left w:val="single" w:sz="4" w:space="0" w:color="000000"/>
                    <w:bottom w:val="single" w:sz="4" w:space="0" w:color="000000"/>
                    <w:right w:val="single" w:sz="4" w:space="0" w:color="000000"/>
                  </w:tcBorders>
                  <w:vAlign w:val="center"/>
                  <w:hideMark/>
                </w:tcPr>
                <w:p w14:paraId="4EAEF242"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2890B35B"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523D7AAE"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200</w:t>
                  </w:r>
                </w:p>
              </w:tc>
              <w:tc>
                <w:tcPr>
                  <w:tcW w:w="1134" w:type="dxa"/>
                  <w:tcBorders>
                    <w:top w:val="nil"/>
                    <w:left w:val="nil"/>
                    <w:bottom w:val="single" w:sz="4" w:space="0" w:color="000000"/>
                    <w:right w:val="single" w:sz="4" w:space="0" w:color="000000"/>
                  </w:tcBorders>
                  <w:shd w:val="clear" w:color="auto" w:fill="auto"/>
                  <w:noWrap/>
                  <w:vAlign w:val="center"/>
                  <w:hideMark/>
                </w:tcPr>
                <w:p w14:paraId="1B985023"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3D4709E9"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1.500.000 </w:t>
                  </w:r>
                </w:p>
              </w:tc>
              <w:tc>
                <w:tcPr>
                  <w:tcW w:w="1559" w:type="dxa"/>
                  <w:tcBorders>
                    <w:top w:val="nil"/>
                    <w:left w:val="nil"/>
                    <w:bottom w:val="single" w:sz="4" w:space="0" w:color="000000"/>
                    <w:right w:val="single" w:sz="4" w:space="0" w:color="000000"/>
                  </w:tcBorders>
                  <w:shd w:val="clear" w:color="auto" w:fill="auto"/>
                  <w:noWrap/>
                  <w:vAlign w:val="bottom"/>
                  <w:hideMark/>
                </w:tcPr>
                <w:p w14:paraId="6953F626"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300.000.000 </w:t>
                  </w:r>
                </w:p>
              </w:tc>
            </w:tr>
            <w:tr w:rsidR="00973D46" w:rsidRPr="00973D46" w14:paraId="63A3724E" w14:textId="77777777" w:rsidTr="00973D46">
              <w:trPr>
                <w:trHeight w:val="874"/>
              </w:trPr>
              <w:tc>
                <w:tcPr>
                  <w:tcW w:w="1723" w:type="dxa"/>
                  <w:vMerge/>
                  <w:tcBorders>
                    <w:top w:val="nil"/>
                    <w:left w:val="single" w:sz="4" w:space="0" w:color="000000"/>
                    <w:bottom w:val="single" w:sz="4" w:space="0" w:color="000000"/>
                    <w:right w:val="single" w:sz="4" w:space="0" w:color="000000"/>
                  </w:tcBorders>
                  <w:vAlign w:val="center"/>
                  <w:hideMark/>
                </w:tcPr>
                <w:p w14:paraId="705DD371" w14:textId="77777777" w:rsidR="00973D46" w:rsidRPr="00973D46" w:rsidRDefault="00973D46" w:rsidP="00973D46">
                  <w:pPr>
                    <w:spacing w:after="0" w:line="240" w:lineRule="auto"/>
                    <w:rPr>
                      <w:rFonts w:ascii="Century Gothic" w:eastAsia="Times New Roman" w:hAnsi="Century Gothic" w:cs="Arial"/>
                      <w:color w:val="000000"/>
                    </w:rPr>
                  </w:pPr>
                </w:p>
              </w:tc>
              <w:tc>
                <w:tcPr>
                  <w:tcW w:w="2694" w:type="dxa"/>
                  <w:vMerge/>
                  <w:tcBorders>
                    <w:top w:val="nil"/>
                    <w:left w:val="single" w:sz="4" w:space="0" w:color="000000"/>
                    <w:bottom w:val="single" w:sz="4" w:space="0" w:color="000000"/>
                    <w:right w:val="single" w:sz="4" w:space="0" w:color="000000"/>
                  </w:tcBorders>
                  <w:vAlign w:val="center"/>
                  <w:hideMark/>
                </w:tcPr>
                <w:p w14:paraId="5A8576B5" w14:textId="77777777" w:rsidR="00973D46" w:rsidRPr="00973D46" w:rsidRDefault="00973D46" w:rsidP="00973D46">
                  <w:pPr>
                    <w:spacing w:after="0" w:line="240" w:lineRule="auto"/>
                    <w:rPr>
                      <w:rFonts w:ascii="Century Gothic" w:eastAsia="Times New Roman" w:hAnsi="Century Gothic" w:cs="Arial"/>
                      <w:color w:val="000000"/>
                    </w:rPr>
                  </w:pPr>
                </w:p>
              </w:tc>
              <w:tc>
                <w:tcPr>
                  <w:tcW w:w="850" w:type="dxa"/>
                  <w:tcBorders>
                    <w:top w:val="nil"/>
                    <w:left w:val="nil"/>
                    <w:bottom w:val="single" w:sz="4" w:space="0" w:color="000000"/>
                    <w:right w:val="single" w:sz="4" w:space="0" w:color="000000"/>
                  </w:tcBorders>
                  <w:shd w:val="clear" w:color="auto" w:fill="auto"/>
                  <w:noWrap/>
                  <w:vAlign w:val="center"/>
                  <w:hideMark/>
                </w:tcPr>
                <w:p w14:paraId="4D27E3E1"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350</w:t>
                  </w:r>
                </w:p>
              </w:tc>
              <w:tc>
                <w:tcPr>
                  <w:tcW w:w="1134" w:type="dxa"/>
                  <w:tcBorders>
                    <w:top w:val="nil"/>
                    <w:left w:val="nil"/>
                    <w:bottom w:val="single" w:sz="4" w:space="0" w:color="000000"/>
                    <w:right w:val="single" w:sz="4" w:space="0" w:color="000000"/>
                  </w:tcBorders>
                  <w:shd w:val="clear" w:color="auto" w:fill="auto"/>
                  <w:noWrap/>
                  <w:vAlign w:val="center"/>
                  <w:hideMark/>
                </w:tcPr>
                <w:p w14:paraId="0E5E1EAF"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Unidad</w:t>
                  </w:r>
                </w:p>
              </w:tc>
              <w:tc>
                <w:tcPr>
                  <w:tcW w:w="1418" w:type="dxa"/>
                  <w:tcBorders>
                    <w:top w:val="nil"/>
                    <w:left w:val="nil"/>
                    <w:bottom w:val="single" w:sz="4" w:space="0" w:color="000000"/>
                    <w:right w:val="single" w:sz="4" w:space="0" w:color="000000"/>
                  </w:tcBorders>
                  <w:shd w:val="clear" w:color="auto" w:fill="auto"/>
                  <w:noWrap/>
                  <w:vAlign w:val="bottom"/>
                  <w:hideMark/>
                </w:tcPr>
                <w:p w14:paraId="4BCBE149"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500.000 </w:t>
                  </w:r>
                </w:p>
              </w:tc>
              <w:tc>
                <w:tcPr>
                  <w:tcW w:w="1559" w:type="dxa"/>
                  <w:tcBorders>
                    <w:top w:val="nil"/>
                    <w:left w:val="nil"/>
                    <w:bottom w:val="single" w:sz="4" w:space="0" w:color="000000"/>
                    <w:right w:val="single" w:sz="4" w:space="0" w:color="000000"/>
                  </w:tcBorders>
                  <w:shd w:val="clear" w:color="auto" w:fill="auto"/>
                  <w:noWrap/>
                  <w:vAlign w:val="bottom"/>
                  <w:hideMark/>
                </w:tcPr>
                <w:p w14:paraId="678E92D2" w14:textId="77777777" w:rsidR="00973D46" w:rsidRPr="00973D46" w:rsidRDefault="00973D46" w:rsidP="00973D46">
                  <w:pPr>
                    <w:spacing w:after="0" w:line="240" w:lineRule="auto"/>
                    <w:jc w:val="center"/>
                    <w:rPr>
                      <w:rFonts w:ascii="Century Gothic" w:eastAsia="Times New Roman" w:hAnsi="Century Gothic" w:cs="Arial"/>
                      <w:color w:val="000000"/>
                    </w:rPr>
                  </w:pPr>
                  <w:r w:rsidRPr="00973D46">
                    <w:rPr>
                      <w:rFonts w:ascii="Century Gothic" w:eastAsia="Times New Roman" w:hAnsi="Century Gothic" w:cs="Arial"/>
                      <w:color w:val="000000"/>
                    </w:rPr>
                    <w:t xml:space="preserve"> $                 175.000.000 </w:t>
                  </w:r>
                </w:p>
              </w:tc>
            </w:tr>
            <w:tr w:rsidR="00973D46" w:rsidRPr="00973D46" w14:paraId="33C78C44" w14:textId="77777777" w:rsidTr="00973D46">
              <w:trPr>
                <w:trHeight w:val="316"/>
              </w:trPr>
              <w:tc>
                <w:tcPr>
                  <w:tcW w:w="7819" w:type="dxa"/>
                  <w:gridSpan w:val="5"/>
                  <w:tcBorders>
                    <w:top w:val="single" w:sz="4" w:space="0" w:color="000000"/>
                    <w:left w:val="single" w:sz="4" w:space="0" w:color="000000"/>
                    <w:bottom w:val="single" w:sz="4" w:space="0" w:color="000000"/>
                    <w:right w:val="nil"/>
                  </w:tcBorders>
                  <w:shd w:val="clear" w:color="auto" w:fill="auto"/>
                  <w:noWrap/>
                  <w:vAlign w:val="bottom"/>
                  <w:hideMark/>
                </w:tcPr>
                <w:p w14:paraId="10650962" w14:textId="77777777" w:rsidR="00973D46" w:rsidRPr="00973D46" w:rsidRDefault="00973D46" w:rsidP="00973D46">
                  <w:pPr>
                    <w:spacing w:after="0" w:line="240" w:lineRule="auto"/>
                    <w:jc w:val="center"/>
                    <w:rPr>
                      <w:rFonts w:ascii="Century Gothic" w:eastAsia="Times New Roman" w:hAnsi="Century Gothic" w:cs="Arial"/>
                      <w:b/>
                      <w:bCs/>
                      <w:color w:val="000000"/>
                    </w:rPr>
                  </w:pPr>
                  <w:r w:rsidRPr="00973D46">
                    <w:rPr>
                      <w:rFonts w:ascii="Century Gothic" w:eastAsia="Times New Roman" w:hAnsi="Century Gothic" w:cs="Arial"/>
                      <w:b/>
                      <w:bCs/>
                      <w:color w:val="000000"/>
                    </w:rPr>
                    <w:t>COSTO DIRECTO DEL PROYECTO</w:t>
                  </w:r>
                </w:p>
              </w:tc>
              <w:tc>
                <w:tcPr>
                  <w:tcW w:w="1559" w:type="dxa"/>
                  <w:tcBorders>
                    <w:top w:val="nil"/>
                    <w:left w:val="nil"/>
                    <w:bottom w:val="single" w:sz="4" w:space="0" w:color="000000"/>
                    <w:right w:val="single" w:sz="4" w:space="0" w:color="000000"/>
                  </w:tcBorders>
                  <w:shd w:val="clear" w:color="auto" w:fill="auto"/>
                  <w:noWrap/>
                  <w:vAlign w:val="bottom"/>
                  <w:hideMark/>
                </w:tcPr>
                <w:p w14:paraId="0F25AF6C" w14:textId="77777777" w:rsidR="00973D46" w:rsidRPr="00973D46" w:rsidRDefault="00973D46" w:rsidP="00973D46">
                  <w:pPr>
                    <w:spacing w:after="0" w:line="240" w:lineRule="auto"/>
                    <w:rPr>
                      <w:rFonts w:ascii="Century Gothic" w:eastAsia="Times New Roman" w:hAnsi="Century Gothic" w:cs="Arial"/>
                      <w:color w:val="000000"/>
                    </w:rPr>
                  </w:pPr>
                  <w:r w:rsidRPr="00973D46">
                    <w:rPr>
                      <w:rFonts w:ascii="Century Gothic" w:eastAsia="Times New Roman" w:hAnsi="Century Gothic" w:cs="Arial"/>
                      <w:color w:val="000000"/>
                    </w:rPr>
                    <w:t xml:space="preserve"> $              4.127.550.000 </w:t>
                  </w:r>
                </w:p>
              </w:tc>
            </w:tr>
          </w:tbl>
          <w:p w14:paraId="01A271E9" w14:textId="77777777" w:rsidR="006062A1" w:rsidRPr="006062A1" w:rsidRDefault="006062A1" w:rsidP="006062A1">
            <w:pPr>
              <w:jc w:val="center"/>
              <w:rPr>
                <w:rFonts w:ascii="Century Gothic" w:eastAsia="Century Gothic" w:hAnsi="Century Gothic" w:cs="Century Gothic"/>
                <w:b/>
                <w:sz w:val="24"/>
                <w:szCs w:val="24"/>
              </w:rPr>
            </w:pPr>
          </w:p>
          <w:tbl>
            <w:tblPr>
              <w:tblW w:w="7200" w:type="dxa"/>
              <w:jc w:val="right"/>
              <w:tblLayout w:type="fixed"/>
              <w:tblCellMar>
                <w:left w:w="70" w:type="dxa"/>
                <w:right w:w="70" w:type="dxa"/>
              </w:tblCellMar>
              <w:tblLook w:val="04A0" w:firstRow="1" w:lastRow="0" w:firstColumn="1" w:lastColumn="0" w:noHBand="0" w:noVBand="1"/>
            </w:tblPr>
            <w:tblGrid>
              <w:gridCol w:w="2780"/>
              <w:gridCol w:w="1548"/>
              <w:gridCol w:w="2872"/>
            </w:tblGrid>
            <w:tr w:rsidR="005E26EA" w:rsidRPr="005E26EA" w14:paraId="00103CC3" w14:textId="77777777" w:rsidTr="005E26EA">
              <w:trPr>
                <w:trHeight w:val="315"/>
                <w:jc w:val="right"/>
              </w:trPr>
              <w:tc>
                <w:tcPr>
                  <w:tcW w:w="7200" w:type="dxa"/>
                  <w:gridSpan w:val="3"/>
                  <w:tcBorders>
                    <w:top w:val="single" w:sz="8" w:space="0" w:color="auto"/>
                    <w:left w:val="single" w:sz="4" w:space="0" w:color="auto"/>
                    <w:bottom w:val="single" w:sz="8" w:space="0" w:color="000000"/>
                    <w:right w:val="nil"/>
                  </w:tcBorders>
                  <w:shd w:val="clear" w:color="auto" w:fill="auto"/>
                  <w:vAlign w:val="center"/>
                  <w:hideMark/>
                </w:tcPr>
                <w:p w14:paraId="0D11D475" w14:textId="77777777" w:rsidR="005E26EA" w:rsidRPr="005E26EA" w:rsidRDefault="005E26EA" w:rsidP="005E26EA">
                  <w:pPr>
                    <w:spacing w:after="0" w:line="240" w:lineRule="auto"/>
                    <w:jc w:val="center"/>
                    <w:rPr>
                      <w:rFonts w:ascii="Century Gothic" w:eastAsia="Times New Roman" w:hAnsi="Century Gothic"/>
                      <w:b/>
                      <w:bCs/>
                    </w:rPr>
                  </w:pPr>
                  <w:r w:rsidRPr="005E26EA">
                    <w:rPr>
                      <w:rFonts w:ascii="Century Gothic" w:eastAsia="Times New Roman" w:hAnsi="Century Gothic"/>
                      <w:b/>
                      <w:bCs/>
                    </w:rPr>
                    <w:t>COSTOS INDIRECTOS</w:t>
                  </w:r>
                </w:p>
              </w:tc>
            </w:tr>
            <w:tr w:rsidR="005E26EA" w:rsidRPr="005E26EA" w14:paraId="213E3B50" w14:textId="77777777" w:rsidTr="005E26EA">
              <w:trPr>
                <w:trHeight w:val="315"/>
                <w:jc w:val="right"/>
              </w:trPr>
              <w:tc>
                <w:tcPr>
                  <w:tcW w:w="2780"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09F7B76C" w14:textId="77777777" w:rsidR="005E26EA" w:rsidRPr="005E26EA" w:rsidRDefault="005E26EA" w:rsidP="005E26EA">
                  <w:pPr>
                    <w:spacing w:after="0" w:line="240" w:lineRule="auto"/>
                    <w:rPr>
                      <w:rFonts w:ascii="Century Gothic" w:eastAsia="Times New Roman" w:hAnsi="Century Gothic"/>
                    </w:rPr>
                  </w:pPr>
                  <w:r w:rsidRPr="005E26EA">
                    <w:rPr>
                      <w:rFonts w:ascii="Century Gothic" w:eastAsia="Times New Roman" w:hAnsi="Century Gothic"/>
                    </w:rPr>
                    <w:t>Descripción</w:t>
                  </w:r>
                </w:p>
              </w:tc>
              <w:tc>
                <w:tcPr>
                  <w:tcW w:w="1548" w:type="dxa"/>
                  <w:tcBorders>
                    <w:top w:val="single" w:sz="8" w:space="0" w:color="CCCCCC"/>
                    <w:left w:val="single" w:sz="4" w:space="0" w:color="auto"/>
                    <w:bottom w:val="single" w:sz="8" w:space="0" w:color="000000"/>
                    <w:right w:val="single" w:sz="8" w:space="0" w:color="000000"/>
                  </w:tcBorders>
                  <w:shd w:val="clear" w:color="auto" w:fill="auto"/>
                  <w:vAlign w:val="center"/>
                  <w:hideMark/>
                </w:tcPr>
                <w:p w14:paraId="7F444EA6" w14:textId="77777777" w:rsidR="005E26EA" w:rsidRPr="005E26EA" w:rsidRDefault="005E26EA" w:rsidP="005E26EA">
                  <w:pPr>
                    <w:spacing w:after="0" w:line="240" w:lineRule="auto"/>
                    <w:jc w:val="center"/>
                    <w:rPr>
                      <w:rFonts w:ascii="Century Gothic" w:eastAsia="Times New Roman" w:hAnsi="Century Gothic" w:cs="Arial"/>
                      <w:b/>
                      <w:bCs/>
                      <w:color w:val="000000"/>
                    </w:rPr>
                  </w:pPr>
                  <w:r w:rsidRPr="005E26EA">
                    <w:rPr>
                      <w:rFonts w:ascii="Century Gothic" w:eastAsia="Times New Roman" w:hAnsi="Century Gothic" w:cs="Arial"/>
                      <w:b/>
                      <w:bCs/>
                      <w:color w:val="000000"/>
                    </w:rPr>
                    <w:t>Porcentaje</w:t>
                  </w:r>
                </w:p>
              </w:tc>
              <w:tc>
                <w:tcPr>
                  <w:tcW w:w="2872"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7A8A2870" w14:textId="77777777" w:rsidR="005E26EA" w:rsidRPr="005E26EA" w:rsidRDefault="005E26EA" w:rsidP="005E26EA">
                  <w:pPr>
                    <w:spacing w:after="0" w:line="240" w:lineRule="auto"/>
                    <w:jc w:val="center"/>
                    <w:rPr>
                      <w:rFonts w:ascii="Century Gothic" w:eastAsia="Times New Roman" w:hAnsi="Century Gothic" w:cs="Arial"/>
                      <w:b/>
                      <w:bCs/>
                      <w:color w:val="000000"/>
                    </w:rPr>
                  </w:pPr>
                  <w:r w:rsidRPr="005E26EA">
                    <w:rPr>
                      <w:rFonts w:ascii="Century Gothic" w:eastAsia="Times New Roman" w:hAnsi="Century Gothic" w:cs="Arial"/>
                      <w:b/>
                      <w:bCs/>
                      <w:color w:val="000000"/>
                    </w:rPr>
                    <w:t>Valor Total</w:t>
                  </w:r>
                </w:p>
              </w:tc>
            </w:tr>
            <w:tr w:rsidR="005E26EA" w:rsidRPr="005E26EA" w14:paraId="539FDA83" w14:textId="77777777" w:rsidTr="005E26EA">
              <w:trPr>
                <w:trHeight w:val="315"/>
                <w:jc w:val="right"/>
              </w:trPr>
              <w:tc>
                <w:tcPr>
                  <w:tcW w:w="2780"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6B7631D2" w14:textId="77777777" w:rsidR="005E26EA" w:rsidRPr="005E26EA" w:rsidRDefault="005E26EA" w:rsidP="005E26EA">
                  <w:pPr>
                    <w:spacing w:after="0" w:line="240" w:lineRule="auto"/>
                    <w:rPr>
                      <w:rFonts w:ascii="Century Gothic" w:eastAsia="Times New Roman" w:hAnsi="Century Gothic"/>
                    </w:rPr>
                  </w:pPr>
                  <w:r w:rsidRPr="005E26EA">
                    <w:rPr>
                      <w:rFonts w:ascii="Century Gothic" w:eastAsia="Times New Roman" w:hAnsi="Century Gothic"/>
                    </w:rPr>
                    <w:t>IVA</w:t>
                  </w:r>
                </w:p>
              </w:tc>
              <w:tc>
                <w:tcPr>
                  <w:tcW w:w="1548" w:type="dxa"/>
                  <w:tcBorders>
                    <w:top w:val="single" w:sz="8" w:space="0" w:color="CCCCCC"/>
                    <w:left w:val="single" w:sz="4" w:space="0" w:color="auto"/>
                    <w:bottom w:val="single" w:sz="8" w:space="0" w:color="000000"/>
                    <w:right w:val="single" w:sz="8" w:space="0" w:color="000000"/>
                  </w:tcBorders>
                  <w:shd w:val="clear" w:color="auto" w:fill="auto"/>
                  <w:vAlign w:val="center"/>
                  <w:hideMark/>
                </w:tcPr>
                <w:p w14:paraId="30622340" w14:textId="77777777" w:rsidR="005E26EA" w:rsidRPr="005E26EA" w:rsidRDefault="005E26EA" w:rsidP="005E26EA">
                  <w:pPr>
                    <w:spacing w:after="0" w:line="240" w:lineRule="auto"/>
                    <w:jc w:val="center"/>
                    <w:rPr>
                      <w:rFonts w:ascii="Century Gothic" w:eastAsia="Times New Roman" w:hAnsi="Century Gothic" w:cs="Arial"/>
                      <w:color w:val="000000"/>
                    </w:rPr>
                  </w:pPr>
                  <w:r w:rsidRPr="005E26EA">
                    <w:rPr>
                      <w:rFonts w:ascii="Century Gothic" w:eastAsia="Times New Roman" w:hAnsi="Century Gothic" w:cs="Arial"/>
                      <w:color w:val="000000"/>
                    </w:rPr>
                    <w:t>19.00%</w:t>
                  </w:r>
                </w:p>
              </w:tc>
              <w:tc>
                <w:tcPr>
                  <w:tcW w:w="2872"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3FEF1FB3" w14:textId="77777777" w:rsidR="005E26EA" w:rsidRPr="005E26EA" w:rsidRDefault="005E26EA" w:rsidP="005E26EA">
                  <w:pPr>
                    <w:spacing w:after="0" w:line="240" w:lineRule="auto"/>
                    <w:jc w:val="right"/>
                    <w:rPr>
                      <w:rFonts w:ascii="Century Gothic" w:eastAsia="Times New Roman" w:hAnsi="Century Gothic" w:cs="Arial"/>
                      <w:color w:val="000000"/>
                    </w:rPr>
                  </w:pPr>
                  <w:r w:rsidRPr="005E26EA">
                    <w:rPr>
                      <w:rFonts w:ascii="Century Gothic" w:eastAsia="Times New Roman" w:hAnsi="Century Gothic" w:cs="Arial"/>
                      <w:color w:val="000000"/>
                    </w:rPr>
                    <w:t xml:space="preserve"> $                 784.234.500 </w:t>
                  </w:r>
                </w:p>
              </w:tc>
            </w:tr>
            <w:tr w:rsidR="005E26EA" w:rsidRPr="005E26EA" w14:paraId="1919B0C7" w14:textId="77777777" w:rsidTr="005E26EA">
              <w:trPr>
                <w:trHeight w:val="315"/>
                <w:jc w:val="right"/>
              </w:trPr>
              <w:tc>
                <w:tcPr>
                  <w:tcW w:w="2780"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368EAE2E" w14:textId="77777777" w:rsidR="005E26EA" w:rsidRPr="005E26EA" w:rsidRDefault="005E26EA" w:rsidP="005E26EA">
                  <w:pPr>
                    <w:spacing w:after="0" w:line="240" w:lineRule="auto"/>
                    <w:rPr>
                      <w:rFonts w:ascii="Century Gothic" w:eastAsia="Times New Roman" w:hAnsi="Century Gothic"/>
                    </w:rPr>
                  </w:pPr>
                  <w:r w:rsidRPr="005E26EA">
                    <w:rPr>
                      <w:rFonts w:ascii="Century Gothic" w:eastAsia="Times New Roman" w:hAnsi="Century Gothic"/>
                    </w:rPr>
                    <w:t>Interventoría</w:t>
                  </w:r>
                </w:p>
              </w:tc>
              <w:tc>
                <w:tcPr>
                  <w:tcW w:w="1548" w:type="dxa"/>
                  <w:tcBorders>
                    <w:top w:val="single" w:sz="8" w:space="0" w:color="CCCCCC"/>
                    <w:left w:val="single" w:sz="4" w:space="0" w:color="auto"/>
                    <w:bottom w:val="single" w:sz="8" w:space="0" w:color="000000"/>
                    <w:right w:val="single" w:sz="8" w:space="0" w:color="000000"/>
                  </w:tcBorders>
                  <w:shd w:val="clear" w:color="auto" w:fill="auto"/>
                  <w:vAlign w:val="center"/>
                  <w:hideMark/>
                </w:tcPr>
                <w:p w14:paraId="1ABCE558" w14:textId="77777777" w:rsidR="005E26EA" w:rsidRPr="005E26EA" w:rsidRDefault="005E26EA" w:rsidP="005E26EA">
                  <w:pPr>
                    <w:spacing w:after="0" w:line="240" w:lineRule="auto"/>
                    <w:jc w:val="center"/>
                    <w:rPr>
                      <w:rFonts w:ascii="Century Gothic" w:eastAsia="Times New Roman" w:hAnsi="Century Gothic" w:cs="Arial"/>
                      <w:color w:val="000000"/>
                    </w:rPr>
                  </w:pPr>
                  <w:r w:rsidRPr="005E26EA">
                    <w:rPr>
                      <w:rFonts w:ascii="Century Gothic" w:eastAsia="Times New Roman" w:hAnsi="Century Gothic" w:cs="Arial"/>
                      <w:color w:val="000000"/>
                    </w:rPr>
                    <w:t>5.00%</w:t>
                  </w:r>
                </w:p>
              </w:tc>
              <w:tc>
                <w:tcPr>
                  <w:tcW w:w="2872"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5BB71125" w14:textId="77777777" w:rsidR="005E26EA" w:rsidRPr="005E26EA" w:rsidRDefault="005E26EA" w:rsidP="005E26EA">
                  <w:pPr>
                    <w:spacing w:after="0" w:line="240" w:lineRule="auto"/>
                    <w:jc w:val="right"/>
                    <w:rPr>
                      <w:rFonts w:ascii="Century Gothic" w:eastAsia="Times New Roman" w:hAnsi="Century Gothic" w:cs="Arial"/>
                      <w:color w:val="000000"/>
                    </w:rPr>
                  </w:pPr>
                  <w:r w:rsidRPr="005E26EA">
                    <w:rPr>
                      <w:rFonts w:ascii="Century Gothic" w:eastAsia="Times New Roman" w:hAnsi="Century Gothic" w:cs="Arial"/>
                      <w:color w:val="000000"/>
                    </w:rPr>
                    <w:t xml:space="preserve"> $                 206.377.500 </w:t>
                  </w:r>
                </w:p>
              </w:tc>
            </w:tr>
            <w:tr w:rsidR="005E26EA" w:rsidRPr="005E26EA" w14:paraId="1EC61AAA" w14:textId="77777777" w:rsidTr="005E26EA">
              <w:trPr>
                <w:trHeight w:val="315"/>
                <w:jc w:val="right"/>
              </w:trPr>
              <w:tc>
                <w:tcPr>
                  <w:tcW w:w="2780"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099F9132" w14:textId="77777777" w:rsidR="005E26EA" w:rsidRPr="005E26EA" w:rsidRDefault="005E26EA" w:rsidP="005E26EA">
                  <w:pPr>
                    <w:spacing w:after="0" w:line="240" w:lineRule="auto"/>
                    <w:rPr>
                      <w:rFonts w:ascii="Century Gothic" w:eastAsia="Times New Roman" w:hAnsi="Century Gothic"/>
                    </w:rPr>
                  </w:pPr>
                  <w:r w:rsidRPr="005E26EA">
                    <w:rPr>
                      <w:rFonts w:ascii="Century Gothic" w:eastAsia="Times New Roman" w:hAnsi="Century Gothic"/>
                    </w:rPr>
                    <w:t>Imprevistos</w:t>
                  </w:r>
                </w:p>
              </w:tc>
              <w:tc>
                <w:tcPr>
                  <w:tcW w:w="1548" w:type="dxa"/>
                  <w:tcBorders>
                    <w:top w:val="single" w:sz="8" w:space="0" w:color="CCCCCC"/>
                    <w:left w:val="single" w:sz="4" w:space="0" w:color="auto"/>
                    <w:bottom w:val="single" w:sz="8" w:space="0" w:color="000000"/>
                    <w:right w:val="single" w:sz="8" w:space="0" w:color="000000"/>
                  </w:tcBorders>
                  <w:shd w:val="clear" w:color="auto" w:fill="auto"/>
                  <w:vAlign w:val="center"/>
                  <w:hideMark/>
                </w:tcPr>
                <w:p w14:paraId="4991E8E8" w14:textId="77777777" w:rsidR="005E26EA" w:rsidRPr="005E26EA" w:rsidRDefault="005E26EA" w:rsidP="005E26EA">
                  <w:pPr>
                    <w:spacing w:after="0" w:line="240" w:lineRule="auto"/>
                    <w:jc w:val="center"/>
                    <w:rPr>
                      <w:rFonts w:ascii="Century Gothic" w:eastAsia="Times New Roman" w:hAnsi="Century Gothic" w:cs="Arial"/>
                      <w:color w:val="000000"/>
                    </w:rPr>
                  </w:pPr>
                  <w:r w:rsidRPr="005E26EA">
                    <w:rPr>
                      <w:rFonts w:ascii="Century Gothic" w:eastAsia="Times New Roman" w:hAnsi="Century Gothic" w:cs="Arial"/>
                      <w:color w:val="000000"/>
                    </w:rPr>
                    <w:t>4.00%</w:t>
                  </w:r>
                </w:p>
              </w:tc>
              <w:tc>
                <w:tcPr>
                  <w:tcW w:w="2872" w:type="dxa"/>
                  <w:tcBorders>
                    <w:top w:val="single" w:sz="8" w:space="0" w:color="CCCCCC"/>
                    <w:left w:val="single" w:sz="8" w:space="0" w:color="CCCCCC"/>
                    <w:bottom w:val="single" w:sz="8" w:space="0" w:color="000000"/>
                    <w:right w:val="single" w:sz="8" w:space="0" w:color="auto"/>
                  </w:tcBorders>
                  <w:shd w:val="clear" w:color="auto" w:fill="auto"/>
                  <w:vAlign w:val="bottom"/>
                  <w:hideMark/>
                </w:tcPr>
                <w:p w14:paraId="7DA0D987" w14:textId="77777777" w:rsidR="005E26EA" w:rsidRPr="005E26EA" w:rsidRDefault="005E26EA" w:rsidP="005E26EA">
                  <w:pPr>
                    <w:spacing w:after="0" w:line="240" w:lineRule="auto"/>
                    <w:jc w:val="right"/>
                    <w:rPr>
                      <w:rFonts w:ascii="Century Gothic" w:eastAsia="Times New Roman" w:hAnsi="Century Gothic" w:cs="Arial"/>
                      <w:color w:val="000000"/>
                    </w:rPr>
                  </w:pPr>
                  <w:r w:rsidRPr="005E26EA">
                    <w:rPr>
                      <w:rFonts w:ascii="Century Gothic" w:eastAsia="Times New Roman" w:hAnsi="Century Gothic" w:cs="Arial"/>
                      <w:color w:val="000000"/>
                    </w:rPr>
                    <w:t xml:space="preserve"> $                 165.102.000 </w:t>
                  </w:r>
                </w:p>
              </w:tc>
            </w:tr>
            <w:tr w:rsidR="005E26EA" w:rsidRPr="005E26EA" w14:paraId="2BA624CC" w14:textId="77777777" w:rsidTr="005E26EA">
              <w:trPr>
                <w:trHeight w:val="315"/>
                <w:jc w:val="right"/>
              </w:trPr>
              <w:tc>
                <w:tcPr>
                  <w:tcW w:w="4328" w:type="dxa"/>
                  <w:gridSpan w:val="2"/>
                  <w:tcBorders>
                    <w:top w:val="single" w:sz="8" w:space="0" w:color="000000"/>
                    <w:left w:val="single" w:sz="4" w:space="0" w:color="auto"/>
                    <w:bottom w:val="single" w:sz="8" w:space="0" w:color="auto"/>
                    <w:right w:val="nil"/>
                  </w:tcBorders>
                  <w:shd w:val="clear" w:color="auto" w:fill="auto"/>
                  <w:vAlign w:val="center"/>
                  <w:hideMark/>
                </w:tcPr>
                <w:p w14:paraId="30F9A0BC" w14:textId="77777777" w:rsidR="005E26EA" w:rsidRPr="005E26EA" w:rsidRDefault="005E26EA" w:rsidP="005E26EA">
                  <w:pPr>
                    <w:spacing w:after="0" w:line="240" w:lineRule="auto"/>
                    <w:jc w:val="center"/>
                    <w:rPr>
                      <w:rFonts w:ascii="Century Gothic" w:eastAsia="Times New Roman" w:hAnsi="Century Gothic"/>
                      <w:b/>
                      <w:bCs/>
                    </w:rPr>
                  </w:pPr>
                  <w:r w:rsidRPr="005E26EA">
                    <w:rPr>
                      <w:rFonts w:ascii="Century Gothic" w:eastAsia="Times New Roman" w:hAnsi="Century Gothic"/>
                      <w:b/>
                      <w:bCs/>
                    </w:rPr>
                    <w:t>COSTO TOTAL PROYECTO</w:t>
                  </w:r>
                </w:p>
              </w:tc>
              <w:tc>
                <w:tcPr>
                  <w:tcW w:w="2872" w:type="dxa"/>
                  <w:tcBorders>
                    <w:top w:val="single" w:sz="8" w:space="0" w:color="CCCCCC"/>
                    <w:left w:val="single" w:sz="8" w:space="0" w:color="CCCCCC"/>
                    <w:bottom w:val="single" w:sz="8" w:space="0" w:color="auto"/>
                    <w:right w:val="single" w:sz="8" w:space="0" w:color="auto"/>
                  </w:tcBorders>
                  <w:shd w:val="clear" w:color="auto" w:fill="auto"/>
                  <w:vAlign w:val="bottom"/>
                  <w:hideMark/>
                </w:tcPr>
                <w:p w14:paraId="73980FE1" w14:textId="77777777" w:rsidR="005E26EA" w:rsidRPr="005E26EA" w:rsidRDefault="005E26EA" w:rsidP="005E26EA">
                  <w:pPr>
                    <w:spacing w:after="0" w:line="240" w:lineRule="auto"/>
                    <w:jc w:val="right"/>
                    <w:rPr>
                      <w:rFonts w:ascii="Century Gothic" w:eastAsia="Times New Roman" w:hAnsi="Century Gothic" w:cs="Arial"/>
                      <w:b/>
                      <w:bCs/>
                      <w:color w:val="000000"/>
                    </w:rPr>
                  </w:pPr>
                  <w:r w:rsidRPr="005E26EA">
                    <w:rPr>
                      <w:rFonts w:ascii="Century Gothic" w:eastAsia="Times New Roman" w:hAnsi="Century Gothic" w:cs="Arial"/>
                      <w:b/>
                      <w:bCs/>
                      <w:color w:val="000000"/>
                    </w:rPr>
                    <w:t xml:space="preserve"> $              5.283.264.000 </w:t>
                  </w:r>
                </w:p>
              </w:tc>
            </w:tr>
          </w:tbl>
          <w:p w14:paraId="4FF8B563" w14:textId="77777777" w:rsidR="006062A1" w:rsidRPr="006062A1" w:rsidRDefault="006062A1" w:rsidP="006062A1">
            <w:pPr>
              <w:jc w:val="center"/>
              <w:rPr>
                <w:rFonts w:ascii="Century Gothic" w:eastAsia="Century Gothic" w:hAnsi="Century Gothic" w:cs="Century Gothic"/>
                <w:b/>
                <w:sz w:val="24"/>
                <w:szCs w:val="24"/>
              </w:rPr>
            </w:pPr>
          </w:p>
          <w:p w14:paraId="013881B4" w14:textId="77777777" w:rsidR="006062A1" w:rsidRPr="006062A1" w:rsidRDefault="006062A1" w:rsidP="005E26EA">
            <w:pPr>
              <w:rPr>
                <w:rFonts w:ascii="Century Gothic" w:eastAsia="Century Gothic" w:hAnsi="Century Gothic" w:cs="Century Gothic"/>
                <w:b/>
                <w:sz w:val="24"/>
                <w:szCs w:val="24"/>
              </w:rPr>
            </w:pPr>
          </w:p>
        </w:tc>
      </w:tr>
      <w:tr w:rsidR="006062A1" w:rsidRPr="006062A1" w14:paraId="69A4ED85" w14:textId="77777777">
        <w:tc>
          <w:tcPr>
            <w:tcW w:w="9639" w:type="dxa"/>
            <w:gridSpan w:val="4"/>
            <w:shd w:val="clear" w:color="auto" w:fill="BFBFBF"/>
          </w:tcPr>
          <w:p w14:paraId="46BA06D5" w14:textId="77777777" w:rsidR="006062A1" w:rsidRPr="006062A1" w:rsidRDefault="006062A1" w:rsidP="006062A1">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lastRenderedPageBreak/>
              <w:t>TIEMPO ESTIMADO</w:t>
            </w:r>
          </w:p>
        </w:tc>
      </w:tr>
      <w:tr w:rsidR="006062A1" w:rsidRPr="006062A1" w14:paraId="77C78D2D" w14:textId="77777777">
        <w:tc>
          <w:tcPr>
            <w:tcW w:w="9639" w:type="dxa"/>
            <w:gridSpan w:val="4"/>
            <w:shd w:val="clear" w:color="auto" w:fill="FFFFFF"/>
          </w:tcPr>
          <w:p w14:paraId="45A8CCD9" w14:textId="3BE6C0A3" w:rsidR="006062A1" w:rsidRPr="006062A1" w:rsidRDefault="006062A1" w:rsidP="00090938">
            <w:pPr>
              <w:jc w:val="both"/>
              <w:rPr>
                <w:rFonts w:ascii="Century Gothic" w:eastAsia="Century Gothic" w:hAnsi="Century Gothic" w:cs="Century Gothic"/>
                <w:b/>
                <w:sz w:val="24"/>
                <w:szCs w:val="24"/>
              </w:rPr>
            </w:pPr>
            <w:r w:rsidRPr="006062A1">
              <w:rPr>
                <w:rFonts w:ascii="Century Gothic" w:eastAsia="Century Gothic" w:hAnsi="Century Gothic" w:cs="Century Gothic"/>
                <w:sz w:val="24"/>
                <w:szCs w:val="24"/>
              </w:rPr>
              <w:t>El proyecto contará con un tiempo estimado de dos años para la construcción y puesta en marcha de esta propuesta.</w:t>
            </w:r>
          </w:p>
        </w:tc>
      </w:tr>
      <w:tr w:rsidR="006062A1" w:rsidRPr="006062A1" w14:paraId="6F4904FD" w14:textId="77777777">
        <w:tc>
          <w:tcPr>
            <w:tcW w:w="9639" w:type="dxa"/>
            <w:gridSpan w:val="4"/>
            <w:shd w:val="clear" w:color="auto" w:fill="BFBFBF"/>
          </w:tcPr>
          <w:p w14:paraId="3D7FEA37" w14:textId="77777777" w:rsidR="006062A1" w:rsidRPr="006062A1" w:rsidRDefault="006062A1" w:rsidP="006062A1">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 xml:space="preserve">OBSERVACIONES </w:t>
            </w:r>
          </w:p>
        </w:tc>
      </w:tr>
      <w:tr w:rsidR="006062A1" w:rsidRPr="006062A1" w14:paraId="088282D1" w14:textId="77777777">
        <w:tc>
          <w:tcPr>
            <w:tcW w:w="9639" w:type="dxa"/>
            <w:gridSpan w:val="4"/>
            <w:shd w:val="clear" w:color="auto" w:fill="FFFFFF"/>
          </w:tcPr>
          <w:p w14:paraId="52AE6C6D" w14:textId="09085E5D" w:rsidR="006062A1" w:rsidRPr="006062A1" w:rsidRDefault="006062A1" w:rsidP="00090938">
            <w:pPr>
              <w:jc w:val="both"/>
              <w:rPr>
                <w:rFonts w:ascii="Century Gothic" w:eastAsia="Century Gothic" w:hAnsi="Century Gothic" w:cs="Century Gothic"/>
                <w:b/>
                <w:sz w:val="24"/>
                <w:szCs w:val="24"/>
              </w:rPr>
            </w:pPr>
            <w:r w:rsidRPr="006062A1">
              <w:rPr>
                <w:rFonts w:ascii="Century Gothic" w:eastAsia="Century Gothic" w:hAnsi="Century Gothic" w:cs="Century Gothic"/>
                <w:sz w:val="24"/>
                <w:szCs w:val="24"/>
              </w:rPr>
              <w:t>El proyecto estará sujeto a modificaciones de costos y tiempo, toda vez que se cuente con una fuente de financiación para el cumplimiento de los términos de referencia</w:t>
            </w:r>
            <w:bookmarkStart w:id="3" w:name="_GoBack"/>
            <w:bookmarkEnd w:id="3"/>
          </w:p>
        </w:tc>
      </w:tr>
      <w:tr w:rsidR="006062A1" w:rsidRPr="006062A1" w14:paraId="0BEDA5B4" w14:textId="77777777">
        <w:tc>
          <w:tcPr>
            <w:tcW w:w="9639" w:type="dxa"/>
            <w:gridSpan w:val="4"/>
            <w:shd w:val="clear" w:color="auto" w:fill="BFBFBF"/>
          </w:tcPr>
          <w:p w14:paraId="11E15103" w14:textId="77777777" w:rsidR="006062A1" w:rsidRPr="006062A1" w:rsidRDefault="006062A1" w:rsidP="006062A1">
            <w:pPr>
              <w:jc w:val="center"/>
              <w:rPr>
                <w:rFonts w:ascii="Century Gothic" w:eastAsia="Century Gothic" w:hAnsi="Century Gothic" w:cs="Century Gothic"/>
                <w:b/>
                <w:sz w:val="24"/>
                <w:szCs w:val="24"/>
              </w:rPr>
            </w:pPr>
            <w:r w:rsidRPr="006062A1">
              <w:rPr>
                <w:rFonts w:ascii="Century Gothic" w:eastAsia="Century Gothic" w:hAnsi="Century Gothic" w:cs="Century Gothic"/>
                <w:b/>
                <w:sz w:val="24"/>
                <w:szCs w:val="24"/>
              </w:rPr>
              <w:t>FIN</w:t>
            </w:r>
          </w:p>
        </w:tc>
      </w:tr>
    </w:tbl>
    <w:p w14:paraId="36FA940D" w14:textId="77777777" w:rsidR="00F51810" w:rsidRPr="006062A1" w:rsidRDefault="00F51810">
      <w:pPr>
        <w:rPr>
          <w:sz w:val="24"/>
          <w:szCs w:val="24"/>
        </w:rPr>
      </w:pPr>
    </w:p>
    <w:sectPr w:rsidR="00F51810" w:rsidRPr="006062A1">
      <w:headerReference w:type="default" r:id="rId8"/>
      <w:footerReference w:type="default" r:id="rId9"/>
      <w:pgSz w:w="11906" w:h="16838"/>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BD763" w14:textId="77777777" w:rsidR="001F688C" w:rsidRDefault="001F688C">
      <w:pPr>
        <w:spacing w:after="0" w:line="240" w:lineRule="auto"/>
      </w:pPr>
      <w:r>
        <w:separator/>
      </w:r>
    </w:p>
  </w:endnote>
  <w:endnote w:type="continuationSeparator" w:id="0">
    <w:p w14:paraId="08C3AC0C" w14:textId="77777777" w:rsidR="001F688C" w:rsidRDefault="001F6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9020F" w14:textId="2140FDA0" w:rsidR="00F51810" w:rsidRDefault="007A47BF">
    <w:pPr>
      <w:pBdr>
        <w:top w:val="nil"/>
        <w:left w:val="nil"/>
        <w:bottom w:val="nil"/>
        <w:right w:val="nil"/>
        <w:between w:val="nil"/>
      </w:pBdr>
      <w:tabs>
        <w:tab w:val="center" w:pos="4252"/>
        <w:tab w:val="right" w:pos="8504"/>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90938">
      <w:rPr>
        <w:noProof/>
        <w:color w:val="000000"/>
      </w:rPr>
      <w:t>12</w:t>
    </w:r>
    <w:r>
      <w:rPr>
        <w:color w:val="000000"/>
      </w:rPr>
      <w:fldChar w:fldCharType="end"/>
    </w:r>
  </w:p>
  <w:p w14:paraId="5E80C9EC" w14:textId="77777777" w:rsidR="00F51810" w:rsidRDefault="00F51810">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E5FDC" w14:textId="77777777" w:rsidR="001F688C" w:rsidRDefault="001F688C">
      <w:pPr>
        <w:spacing w:after="0" w:line="240" w:lineRule="auto"/>
      </w:pPr>
      <w:r>
        <w:separator/>
      </w:r>
    </w:p>
  </w:footnote>
  <w:footnote w:type="continuationSeparator" w:id="0">
    <w:p w14:paraId="697A4E23" w14:textId="77777777" w:rsidR="001F688C" w:rsidRDefault="001F6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E60A9" w14:textId="77777777" w:rsidR="00F51810" w:rsidRDefault="00F51810">
    <w:pPr>
      <w:widowControl w:val="0"/>
      <w:pBdr>
        <w:top w:val="nil"/>
        <w:left w:val="nil"/>
        <w:bottom w:val="nil"/>
        <w:right w:val="nil"/>
        <w:between w:val="nil"/>
      </w:pBdr>
      <w:spacing w:after="0"/>
    </w:pPr>
  </w:p>
  <w:tbl>
    <w:tblPr>
      <w:tblStyle w:val="a0"/>
      <w:tblW w:w="9981" w:type="dxa"/>
      <w:jc w:val="center"/>
      <w:tblInd w:w="0" w:type="dxa"/>
      <w:tblLayout w:type="fixed"/>
      <w:tblLook w:val="0400" w:firstRow="0" w:lastRow="0" w:firstColumn="0" w:lastColumn="0" w:noHBand="0" w:noVBand="1"/>
    </w:tblPr>
    <w:tblGrid>
      <w:gridCol w:w="2063"/>
      <w:gridCol w:w="5748"/>
      <w:gridCol w:w="2170"/>
    </w:tblGrid>
    <w:tr w:rsidR="00F51810" w14:paraId="52CBEF9E" w14:textId="77777777">
      <w:trPr>
        <w:trHeight w:val="138"/>
        <w:jc w:val="center"/>
      </w:trPr>
      <w:tc>
        <w:tcPr>
          <w:tcW w:w="2063" w:type="dxa"/>
          <w:vMerge w:val="restart"/>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638EFC26" w14:textId="77777777" w:rsidR="00F51810" w:rsidRDefault="007A47BF">
          <w:pPr>
            <w:pBdr>
              <w:top w:val="nil"/>
              <w:left w:val="nil"/>
              <w:bottom w:val="nil"/>
              <w:right w:val="nil"/>
              <w:between w:val="nil"/>
            </w:pBdr>
            <w:tabs>
              <w:tab w:val="center" w:pos="4252"/>
              <w:tab w:val="right" w:pos="8504"/>
            </w:tabs>
            <w:spacing w:after="0" w:line="240" w:lineRule="auto"/>
            <w:ind w:left="-61"/>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0"/>
              <w:szCs w:val="20"/>
            </w:rPr>
            <w:drawing>
              <wp:inline distT="0" distB="0" distL="0" distR="0" wp14:anchorId="557E02B3" wp14:editId="5E3A6AFC">
                <wp:extent cx="648093" cy="526099"/>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48093" cy="526099"/>
                        </a:xfrm>
                        <a:prstGeom prst="rect">
                          <a:avLst/>
                        </a:prstGeom>
                        <a:ln/>
                      </pic:spPr>
                    </pic:pic>
                  </a:graphicData>
                </a:graphic>
              </wp:inline>
            </w:drawing>
          </w:r>
        </w:p>
      </w:tc>
      <w:tc>
        <w:tcPr>
          <w:tcW w:w="5748" w:type="dxa"/>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7F6C25F4" w14:textId="77777777" w:rsidR="00F51810" w:rsidRDefault="007A47BF">
          <w:pPr>
            <w:pBdr>
              <w:top w:val="nil"/>
              <w:left w:val="nil"/>
              <w:bottom w:val="nil"/>
              <w:right w:val="nil"/>
              <w:between w:val="nil"/>
            </w:pBdr>
            <w:tabs>
              <w:tab w:val="center" w:pos="4252"/>
              <w:tab w:val="right" w:pos="8504"/>
            </w:tabs>
            <w:spacing w:after="0" w:line="240" w:lineRule="auto"/>
            <w:jc w:val="center"/>
            <w:rPr>
              <w:rFonts w:ascii="Arial" w:eastAsia="Arial" w:hAnsi="Arial" w:cs="Arial"/>
              <w:b/>
              <w:color w:val="000000"/>
            </w:rPr>
          </w:pPr>
          <w:r>
            <w:rPr>
              <w:rFonts w:ascii="Arial" w:eastAsia="Arial" w:hAnsi="Arial" w:cs="Arial"/>
              <w:b/>
              <w:color w:val="000000"/>
              <w:sz w:val="20"/>
              <w:szCs w:val="20"/>
            </w:rPr>
            <w:t>ALCALDIA DE POPAYAN</w:t>
          </w:r>
        </w:p>
      </w:tc>
      <w:tc>
        <w:tcPr>
          <w:tcW w:w="2170" w:type="dxa"/>
          <w:tcBorders>
            <w:top w:val="single" w:sz="18"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vAlign w:val="center"/>
        </w:tcPr>
        <w:p w14:paraId="72F8EDE9" w14:textId="77777777" w:rsidR="00F51810" w:rsidRDefault="007A47BF">
          <w:pPr>
            <w:pBdr>
              <w:top w:val="nil"/>
              <w:left w:val="nil"/>
              <w:bottom w:val="nil"/>
              <w:right w:val="nil"/>
              <w:between w:val="nil"/>
            </w:pBdr>
            <w:tabs>
              <w:tab w:val="center" w:pos="4252"/>
              <w:tab w:val="right" w:pos="8504"/>
            </w:tabs>
            <w:spacing w:after="0" w:line="240" w:lineRule="auto"/>
            <w:jc w:val="center"/>
            <w:rPr>
              <w:rFonts w:ascii="Arial" w:eastAsia="Arial" w:hAnsi="Arial" w:cs="Arial"/>
              <w:b/>
              <w:color w:val="FF0000"/>
              <w:sz w:val="20"/>
              <w:szCs w:val="20"/>
            </w:rPr>
          </w:pPr>
          <w:r>
            <w:rPr>
              <w:rFonts w:ascii="Arial" w:eastAsia="Arial" w:hAnsi="Arial" w:cs="Arial"/>
              <w:color w:val="000000"/>
              <w:sz w:val="20"/>
              <w:szCs w:val="20"/>
            </w:rPr>
            <w:t>F-DPE-BP-11</w:t>
          </w:r>
        </w:p>
      </w:tc>
    </w:tr>
    <w:tr w:rsidR="00F51810" w14:paraId="13B8EC6F" w14:textId="77777777">
      <w:trPr>
        <w:trHeight w:val="285"/>
        <w:jc w:val="center"/>
      </w:trPr>
      <w:tc>
        <w:tcPr>
          <w:tcW w:w="2063" w:type="dxa"/>
          <w:vMerge/>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74B4507E" w14:textId="77777777" w:rsidR="00F51810" w:rsidRDefault="00F51810">
          <w:pPr>
            <w:widowControl w:val="0"/>
            <w:pBdr>
              <w:top w:val="nil"/>
              <w:left w:val="nil"/>
              <w:bottom w:val="nil"/>
              <w:right w:val="nil"/>
              <w:between w:val="nil"/>
            </w:pBdr>
            <w:spacing w:after="0"/>
            <w:rPr>
              <w:rFonts w:ascii="Arial" w:eastAsia="Arial" w:hAnsi="Arial" w:cs="Arial"/>
              <w:b/>
              <w:color w:val="FF0000"/>
              <w:sz w:val="20"/>
              <w:szCs w:val="20"/>
            </w:rPr>
          </w:pPr>
        </w:p>
      </w:tc>
      <w:tc>
        <w:tcPr>
          <w:tcW w:w="5748" w:type="dxa"/>
          <w:vMerge w:val="restart"/>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4480F8A5" w14:textId="77777777" w:rsidR="00F51810" w:rsidRDefault="007A47BF">
          <w:pPr>
            <w:pBdr>
              <w:top w:val="nil"/>
              <w:left w:val="nil"/>
              <w:bottom w:val="nil"/>
              <w:right w:val="nil"/>
              <w:between w:val="nil"/>
            </w:pBdr>
            <w:tabs>
              <w:tab w:val="center" w:pos="4252"/>
              <w:tab w:val="right" w:pos="8504"/>
            </w:tabs>
            <w:spacing w:after="0" w:line="240" w:lineRule="auto"/>
            <w:jc w:val="center"/>
            <w:rPr>
              <w:rFonts w:ascii="Arial" w:eastAsia="Arial" w:hAnsi="Arial" w:cs="Arial"/>
              <w:b/>
              <w:color w:val="76923C"/>
            </w:rPr>
          </w:pPr>
          <w:r>
            <w:rPr>
              <w:rFonts w:ascii="Arial" w:eastAsia="Arial" w:hAnsi="Arial" w:cs="Arial"/>
              <w:b/>
              <w:color w:val="000000"/>
              <w:sz w:val="20"/>
              <w:szCs w:val="20"/>
            </w:rPr>
            <w:t xml:space="preserve">PLANTILLA PARA PERFIL DE PROYECTOS </w:t>
          </w:r>
        </w:p>
      </w:tc>
      <w:tc>
        <w:tcPr>
          <w:tcW w:w="2170"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vAlign w:val="center"/>
        </w:tcPr>
        <w:p w14:paraId="22CFA9FC" w14:textId="77777777" w:rsidR="00F51810" w:rsidRDefault="007A47BF">
          <w:pPr>
            <w:pBdr>
              <w:top w:val="nil"/>
              <w:left w:val="nil"/>
              <w:bottom w:val="nil"/>
              <w:right w:val="nil"/>
              <w:between w:val="nil"/>
            </w:pBdr>
            <w:tabs>
              <w:tab w:val="center" w:pos="4252"/>
              <w:tab w:val="right" w:pos="8504"/>
            </w:tabs>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Versión: 02</w:t>
          </w:r>
        </w:p>
      </w:tc>
    </w:tr>
    <w:tr w:rsidR="00F51810" w14:paraId="5A1E9768" w14:textId="77777777">
      <w:trPr>
        <w:trHeight w:val="415"/>
        <w:jc w:val="center"/>
      </w:trPr>
      <w:tc>
        <w:tcPr>
          <w:tcW w:w="2063" w:type="dxa"/>
          <w:vMerge/>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38532788" w14:textId="77777777" w:rsidR="00F51810" w:rsidRDefault="00F51810">
          <w:pPr>
            <w:widowControl w:val="0"/>
            <w:pBdr>
              <w:top w:val="nil"/>
              <w:left w:val="nil"/>
              <w:bottom w:val="nil"/>
              <w:right w:val="nil"/>
              <w:between w:val="nil"/>
            </w:pBdr>
            <w:spacing w:after="0"/>
            <w:rPr>
              <w:rFonts w:ascii="Arial" w:eastAsia="Arial" w:hAnsi="Arial" w:cs="Arial"/>
              <w:color w:val="000000"/>
              <w:sz w:val="20"/>
              <w:szCs w:val="20"/>
            </w:rPr>
          </w:pPr>
        </w:p>
      </w:tc>
      <w:tc>
        <w:tcPr>
          <w:tcW w:w="5748" w:type="dxa"/>
          <w:vMerge/>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692051A3" w14:textId="77777777" w:rsidR="00F51810" w:rsidRDefault="00F51810">
          <w:pPr>
            <w:widowControl w:val="0"/>
            <w:pBdr>
              <w:top w:val="nil"/>
              <w:left w:val="nil"/>
              <w:bottom w:val="nil"/>
              <w:right w:val="nil"/>
              <w:between w:val="nil"/>
            </w:pBdr>
            <w:spacing w:after="0"/>
            <w:rPr>
              <w:rFonts w:ascii="Arial" w:eastAsia="Arial" w:hAnsi="Arial" w:cs="Arial"/>
              <w:color w:val="000000"/>
              <w:sz w:val="20"/>
              <w:szCs w:val="20"/>
            </w:rPr>
          </w:pPr>
        </w:p>
      </w:tc>
      <w:tc>
        <w:tcPr>
          <w:tcW w:w="2170" w:type="dxa"/>
          <w:tcBorders>
            <w:top w:val="single" w:sz="4"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vAlign w:val="center"/>
        </w:tcPr>
        <w:p w14:paraId="17E8D420" w14:textId="5E792EED" w:rsidR="00F51810" w:rsidRDefault="007A47BF">
          <w:pPr>
            <w:pBdr>
              <w:top w:val="nil"/>
              <w:left w:val="nil"/>
              <w:bottom w:val="nil"/>
              <w:right w:val="nil"/>
              <w:between w:val="nil"/>
            </w:pBdr>
            <w:tabs>
              <w:tab w:val="center" w:pos="4252"/>
              <w:tab w:val="right" w:pos="8504"/>
            </w:tabs>
            <w:spacing w:after="0" w:line="240" w:lineRule="auto"/>
            <w:jc w:val="center"/>
            <w:rPr>
              <w:rFonts w:ascii="Times New Roman" w:eastAsia="Times New Roman" w:hAnsi="Times New Roman" w:cs="Times New Roman"/>
              <w:color w:val="000000"/>
              <w:sz w:val="24"/>
              <w:szCs w:val="24"/>
            </w:rPr>
          </w:pPr>
          <w:r>
            <w:rPr>
              <w:rFonts w:ascii="Arial" w:eastAsia="Arial" w:hAnsi="Arial" w:cs="Arial"/>
              <w:color w:val="000000"/>
              <w:sz w:val="20"/>
              <w:szCs w:val="20"/>
            </w:rPr>
            <w:t xml:space="preserve">Página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90938">
            <w:rPr>
              <w:rFonts w:ascii="Arial" w:eastAsia="Arial" w:hAnsi="Arial" w:cs="Arial"/>
              <w:noProof/>
              <w:color w:val="000000"/>
              <w:sz w:val="20"/>
              <w:szCs w:val="20"/>
            </w:rPr>
            <w:t>12</w:t>
          </w:r>
          <w:r>
            <w:rPr>
              <w:rFonts w:ascii="Arial" w:eastAsia="Arial" w:hAnsi="Arial" w:cs="Arial"/>
              <w:color w:val="000000"/>
              <w:sz w:val="20"/>
              <w:szCs w:val="20"/>
            </w:rPr>
            <w:fldChar w:fldCharType="end"/>
          </w:r>
          <w:r>
            <w:rPr>
              <w:rFonts w:ascii="Arial" w:eastAsia="Arial" w:hAnsi="Arial" w:cs="Arial"/>
              <w:color w:val="000000"/>
              <w:sz w:val="20"/>
              <w:szCs w:val="20"/>
            </w:rPr>
            <w:t xml:space="preserve"> de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090938">
            <w:rPr>
              <w:rFonts w:ascii="Arial" w:eastAsia="Arial" w:hAnsi="Arial" w:cs="Arial"/>
              <w:noProof/>
              <w:color w:val="000000"/>
              <w:sz w:val="20"/>
              <w:szCs w:val="20"/>
            </w:rPr>
            <w:t>13</w:t>
          </w:r>
          <w:r>
            <w:rPr>
              <w:rFonts w:ascii="Arial" w:eastAsia="Arial" w:hAnsi="Arial" w:cs="Arial"/>
              <w:color w:val="000000"/>
              <w:sz w:val="20"/>
              <w:szCs w:val="20"/>
            </w:rPr>
            <w:fldChar w:fldCharType="end"/>
          </w:r>
        </w:p>
      </w:tc>
    </w:tr>
  </w:tbl>
  <w:p w14:paraId="62A34B11" w14:textId="77777777" w:rsidR="00F51810" w:rsidRDefault="00F51810">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77CCB"/>
    <w:multiLevelType w:val="multilevel"/>
    <w:tmpl w:val="8A52DF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B63F52"/>
    <w:multiLevelType w:val="hybridMultilevel"/>
    <w:tmpl w:val="DAA6C8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7E3947"/>
    <w:multiLevelType w:val="multilevel"/>
    <w:tmpl w:val="38B868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C317FB"/>
    <w:multiLevelType w:val="multilevel"/>
    <w:tmpl w:val="61BA8B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B4B041E"/>
    <w:multiLevelType w:val="hybridMultilevel"/>
    <w:tmpl w:val="6310E8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2C567E4"/>
    <w:multiLevelType w:val="multilevel"/>
    <w:tmpl w:val="B97A2E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810"/>
    <w:rsid w:val="0004067D"/>
    <w:rsid w:val="0005754F"/>
    <w:rsid w:val="00090938"/>
    <w:rsid w:val="000D38D3"/>
    <w:rsid w:val="0017651C"/>
    <w:rsid w:val="001A2CDF"/>
    <w:rsid w:val="001F22B8"/>
    <w:rsid w:val="001F688C"/>
    <w:rsid w:val="00335E60"/>
    <w:rsid w:val="00514344"/>
    <w:rsid w:val="005E26EA"/>
    <w:rsid w:val="006062A1"/>
    <w:rsid w:val="00697CE7"/>
    <w:rsid w:val="00723D37"/>
    <w:rsid w:val="0074197A"/>
    <w:rsid w:val="007A47BF"/>
    <w:rsid w:val="007B2D17"/>
    <w:rsid w:val="00835123"/>
    <w:rsid w:val="00973D46"/>
    <w:rsid w:val="009E280D"/>
    <w:rsid w:val="00AB469B"/>
    <w:rsid w:val="00B41357"/>
    <w:rsid w:val="00C51545"/>
    <w:rsid w:val="00D32AA5"/>
    <w:rsid w:val="00F51810"/>
    <w:rsid w:val="00FB0C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3F72A"/>
  <w15:docId w15:val="{438C7D51-2F33-4401-9C2B-2D30C4850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rsid w:val="00F36B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F36B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36B64"/>
  </w:style>
  <w:style w:type="paragraph" w:styleId="Piedepgina">
    <w:name w:val="footer"/>
    <w:basedOn w:val="Normal"/>
    <w:link w:val="PiedepginaCar"/>
    <w:uiPriority w:val="99"/>
    <w:unhideWhenUsed/>
    <w:rsid w:val="00F36B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36B64"/>
  </w:style>
  <w:style w:type="paragraph" w:styleId="Prrafodelista">
    <w:name w:val="List Paragraph"/>
    <w:basedOn w:val="Normal"/>
    <w:uiPriority w:val="34"/>
    <w:qFormat/>
    <w:rsid w:val="00F06189"/>
    <w:pPr>
      <w:spacing w:after="240" w:line="360" w:lineRule="auto"/>
      <w:ind w:left="720"/>
      <w:contextualSpacing/>
    </w:pPr>
    <w:rPr>
      <w:rFonts w:ascii="Times New Roman" w:eastAsiaTheme="minorHAnsi" w:hAnsi="Times New Roman"/>
      <w:sz w:val="24"/>
      <w:lang w:eastAsia="en-US"/>
    </w:rPr>
  </w:style>
  <w:style w:type="paragraph" w:styleId="Sinespaciado">
    <w:name w:val="No Spacing"/>
    <w:uiPriority w:val="1"/>
    <w:qFormat/>
    <w:rsid w:val="004A20E2"/>
    <w:pPr>
      <w:spacing w:after="0" w:line="240" w:lineRule="auto"/>
    </w:pPr>
  </w:style>
  <w:style w:type="paragraph" w:styleId="Textodeglobo">
    <w:name w:val="Balloon Text"/>
    <w:basedOn w:val="Normal"/>
    <w:link w:val="TextodegloboCar"/>
    <w:uiPriority w:val="99"/>
    <w:semiHidden/>
    <w:unhideWhenUsed/>
    <w:rsid w:val="00BF22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2257"/>
    <w:rPr>
      <w:rFonts w:ascii="Segoe UI" w:hAnsi="Segoe UI" w:cs="Segoe UI"/>
      <w:sz w:val="18"/>
      <w:szCs w:val="1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083253">
      <w:bodyDiv w:val="1"/>
      <w:marLeft w:val="0"/>
      <w:marRight w:val="0"/>
      <w:marTop w:val="0"/>
      <w:marBottom w:val="0"/>
      <w:divBdr>
        <w:top w:val="none" w:sz="0" w:space="0" w:color="auto"/>
        <w:left w:val="none" w:sz="0" w:space="0" w:color="auto"/>
        <w:bottom w:val="none" w:sz="0" w:space="0" w:color="auto"/>
        <w:right w:val="none" w:sz="0" w:space="0" w:color="auto"/>
      </w:divBdr>
    </w:div>
    <w:div w:id="1964850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21zP6ieJ3jcEoP6YQqvRqOzxXQ==">CgMxLjAyCGguZ2pkZ3hzOAByITF5WUlXN3RscGoyVlFqMnJqcTZFN3VnZ0FGMHBVMEItVw==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13</Pages>
  <Words>4752</Words>
  <Characters>26140</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dhadministrador</dc:creator>
  <cp:lastModifiedBy>ASUS</cp:lastModifiedBy>
  <cp:revision>17</cp:revision>
  <dcterms:created xsi:type="dcterms:W3CDTF">2024-03-24T21:33:00Z</dcterms:created>
  <dcterms:modified xsi:type="dcterms:W3CDTF">2025-12-11T02:46:00Z</dcterms:modified>
</cp:coreProperties>
</file>